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PostRDV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620 Abs. 3 der Reichsversicherungsordnung in der im Bundesgesetzblatt Teil III, Gliederungsnummer 820-1, veröffentlichten bereinigten Fassung</w:t>
      </w:r>
    </w:p>
    <w:p>
      <w:r>
        <w:t xml:space="preserve">verordnet die Bundesregierung, auf Grund</w:t>
      </w:r>
    </w:p>
    <w:p>
      <w:pPr>
        <w:ind w:left="420"/>
      </w:pPr>
      <w:r>
        <w:t xml:space="preserve">- des § 120 des Sechsten Buches Sozialgesetzbuch- Gesetzliche Rentenversicherung - (Artikel 1 des Gesetzes vom 18. Dezember 1989, BGBl. I S. 2261)</w:t>
      </w:r>
    </w:p>
    <w:p>
      <w:r>
        <w:t xml:space="preserve">verordnet das Bundesministerium für Arbeit und Sozialordnung im Einvernehmen mit dem Bundesministerium für Post und Telekommunikation und dem Bundesministerium der Finanzen und auf Grund</w:t>
      </w:r>
    </w:p>
    <w:p>
      <w:pPr>
        <w:ind w:left="420"/>
      </w:pPr>
      <w:r>
        <w:t xml:space="preserve">- des § 152 Nr. 6 des Sechsten Buches Sozialgesetzbuch- Gesetzliche Rentenversicherung - (Artikel 1 des Gesetzes vom 18. Dezember 1989, BGBl. I S. 2261)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