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PostRDV — Zahlungsempfänger</w:t>
      </w:r>
    </w:p>
    <w:p>
      <w:r>
        <w:rPr>
          <w:color w:val="555555"/>
          <w:sz w:val="18"/>
        </w:rPr>
        <w:t xml:space="preserve">Renten Service Verordnung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Zahlungen erfolgen an die Berechtigten, soweit nicht Dritte vom Berechtigten als Zahlungsempfänger benannt wurden oder auf Grund</w:t>
      </w:r>
    </w:p>
    <w:p>
      <w:pPr>
        <w:ind w:left="420"/>
      </w:pPr>
      <w:r>
        <w:t xml:space="preserve">1. der gesetzlichen Vorschriften über die Vormundschaft oder die Betreuung,</w:t>
      </w:r>
    </w:p>
    <w:p>
      <w:pPr>
        <w:ind w:left="420"/>
      </w:pPr>
      <w:r>
        <w:t xml:space="preserve">2. der §§ 48 bis 50 und der §§ 52 bis 54 des Ersten Buches Sozialgesetzbuch oder</w:t>
      </w:r>
    </w:p>
    <w:p>
      <w:pPr>
        <w:ind w:left="420"/>
      </w:pPr>
      <w:r>
        <w:t xml:space="preserve">3. der §§ 102 bis 105 in Verbindung mit § 107 des Zehnten Buches Sozialgesetzbuch</w:t>
      </w:r>
    </w:p>
    <w:p>
      <w:r>
        <w:t xml:space="preserve">einen Anspruch auf die Auszahlung haben.</w:t>
      </w:r>
    </w:p>
    <w:p>
      <w:r>
        <w:rPr>
          <w:color w:val="555555"/>
          <w:sz w:val="17"/>
        </w:rPr>
        <w:t xml:space="preserve">Zitiervorschlag: § 8 PostRDV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https://recht.nulegal.eu/gesetze/PostRDV/8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