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PostRDV — Verantwortungsbereiche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Träger der Rentenversicherung und der Renten Service sind im Verhältnis zueinander für die ordnungsgemäße Wahrnehmung der ihnen im Rahmen des gesetzlichen Auftragsverhältnisses obliegenden Aufgaben verantwortlich.</w:t>
      </w:r>
    </w:p>
    <w:p>
      <w:r>
        <w:t xml:space="preserve">(2) Im Verhältnis zu den Leistungsberechtigten verbleibt es bei der Verantwortung des Trägers der Rentenversicherung, soweit nicht im Bereich des Datenschutzes eine andere Abgrenzung der Verantwortung gesetzlich vorgesehen ist.</w:t>
      </w:r>
    </w:p>
    <w:p>
      <w:r>
        <w:rPr>
          <w:color w:val="555555"/>
          <w:sz w:val="17"/>
        </w:rPr>
        <w:t xml:space="preserve">Zitiervorschlag: § 4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