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PostRDV — Fälligkeit, Vorschüsse und Abrechnung</w:t>
      </w:r>
    </w:p>
    <w:p>
      <w:r>
        <w:rPr>
          <w:color w:val="555555"/>
          <w:sz w:val="18"/>
        </w:rPr>
        <w:t xml:space="preserve">Renten Service Verordnung</w:t>
      </w:r>
    </w:p>
    <w:p>
      <w:r>
        <w:rPr>
          <w:color w:val="555555"/>
          <w:sz w:val="18"/>
        </w:rPr>
        <w:t xml:space="preserve">Stand: 10.06.2019 (konsolidierte Textfassung, kein amtliches Inkrafttretensdatum)</w:t>
      </w:r>
    </w:p>
    <w:p>
      <w:r>
        <w:t xml:space="preserve">(1) Der Anspruch auf Vergütung wird zum Ende eines jeden Kalenderjahres fällig.</w:t>
      </w:r>
    </w:p>
    <w:p>
      <w:r>
        <w:t xml:space="preserve">(2) Auf die Vergütung sind monatlich angemessene Vorschüsse zu zahlen (Vergütungsvorschüsse). Die Höhe der Vergütungsvorschüsse wird im Benehmen mit dem Renten Service rechtzeitig im Voraus für die allgemeine Rentenversicherung von der Deutschen Rentenversicherung Bund festgesetzt. Die Vergütungsvorschüsse sind zusammen mit den Vorschüssen zur Auszahlung der Geldleistungen fällig.</w:t>
      </w:r>
    </w:p>
    <w:p>
      <w:r>
        <w:t xml:space="preserve">(3) Für die Abrechnung der Vorschüsse gilt § 31 entsprechend.</w:t>
      </w:r>
    </w:p>
    <w:p>
      <w:r>
        <w:rPr>
          <w:color w:val="555555"/>
          <w:sz w:val="17"/>
        </w:rPr>
        <w:t xml:space="preserve">Zitiervorschlag: § 35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