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PostRDV — Anspruch auf angemessene Vergütung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Renten Service hat Anspruch auf eine angemessene Vergütung.</w:t>
      </w:r>
    </w:p>
    <w:p>
      <w:r>
        <w:t xml:space="preserve">(2) Die Vergütung ist angemessen, wenn sie die unter Berücksichtigung des Grundsatzes der Wirtschaftlichkeit und Sparsamkeit (§ 3 Abs. 3) anfallenden</w:t>
      </w:r>
    </w:p>
    <w:p>
      <w:pPr>
        <w:ind w:left="420"/>
      </w:pPr>
      <w:r>
        <w:t xml:space="preserve">1. Kosten für die Dienstleistung des Renten Service und</w:t>
      </w:r>
    </w:p>
    <w:p>
      <w:pPr>
        <w:ind w:left="420"/>
      </w:pPr>
      <w:r>
        <w:t xml:space="preserve">2. Auslagen des Renten Service für die Inanspruchnahme von Dienstleistungen Dritter</w:t>
      </w:r>
    </w:p>
    <w:p>
      <w:r>
        <w:t xml:space="preserve">abdeckt und die Erwirtschaftung eines angemessenen Selbstfinanzierungsbeitrags des Renten Service im Bereich der Deutschen Post AG ermöglicht.</w:t>
      </w:r>
    </w:p>
    <w:p>
      <w:r>
        <w:t xml:space="preserve">(3) Der Vergütungsanspruch richtet sich</w:t>
      </w:r>
    </w:p>
    <w:p>
      <w:pPr>
        <w:ind w:left="420"/>
      </w:pPr>
      <w:r>
        <w:t xml:space="preserve">1. bei der Wahrnehmung von Pflichtaufgaben gegen die Träger der Rentenversicherung,</w:t>
      </w:r>
    </w:p>
    <w:p>
      <w:pPr>
        <w:ind w:left="420"/>
      </w:pPr>
      <w:r>
        <w:t xml:space="preserve">2. bei der Wahrnehmung von Pflichtaufgaben auf Antrag gegen die Träger, die von dem Renten Service die Wahrnehmung der Aufgaben verlangt haben.</w:t>
      </w:r>
    </w:p>
    <w:p>
      <w:r>
        <w:rPr>
          <w:color w:val="555555"/>
          <w:sz w:val="17"/>
        </w:rPr>
        <w:t xml:space="preserve">Zitiervorschlag: § 32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