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PostRDV — Aktualisierung des Rentenbestandes zur Umsetzung von Rechtsänderungen</w:t>
      </w:r>
    </w:p>
    <w:p>
      <w:r>
        <w:rPr>
          <w:color w:val="555555"/>
          <w:sz w:val="18"/>
        </w:rPr>
        <w:t xml:space="preserve">Renten Service Verordnung</w:t>
      </w:r>
    </w:p>
    <w:p>
      <w:r>
        <w:rPr>
          <w:color w:val="555555"/>
          <w:sz w:val="18"/>
        </w:rPr>
        <w:t xml:space="preserve">Stand: 04.07.2020 (konsolidierte Textfassung, kein amtliches Inkrafttretensdatum)</w:t>
      </w:r>
    </w:p>
    <w:p>
      <w:r>
        <w:t xml:space="preserve">Der Renten Service führt die Umrechnung des Rentenbestandes zur Umsetzung von Rechtsänderungen außerhalb der Rentenanpassung durch, soweit die Träger der Rentenversicherung diese Aufgabe nicht selbst wahrnehmen. Erfolgt die Umrechnung des Rentenbestandes durch den Renten Service, informiert er die Rentenbezieher im Namen der Träger der Rentenversicherung. Die §§ 17 und 19 gelten entsprechend.</w:t>
      </w:r>
    </w:p>
    <w:p>
      <w:r>
        <w:rPr>
          <w:color w:val="555555"/>
          <w:sz w:val="17"/>
        </w:rPr>
        <w:t xml:space="preserve">Zitiervorschlag: § 26a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https://recht.nulegal.eu/gesetze/PostRDV/26a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