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PostRDV — Unterrichtung der Träger der Rentenversicherung und anderer Stellen</w:t>
      </w:r>
    </w:p>
    <w:p>
      <w:r>
        <w:rPr>
          <w:color w:val="555555"/>
          <w:sz w:val="18"/>
        </w:rPr>
        <w:t xml:space="preserve">Renten Service 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Renten Service unterrichtet die Träger der Rentenversicherung über die sich aus der Durchführung der Anpassung ergebenden neue Beträge.</w:t>
      </w:r>
    </w:p>
    <w:p>
      <w:r>
        <w:t xml:space="preserve">(2) Andere Stellen erhalten im Rahmen des Rentenauskunftsverfahrens Auskunft über die sich aus der Durchführung der Anpassung ergebenden neuen Beträge.</w:t>
      </w:r>
    </w:p>
    <w:p>
      <w:r>
        <w:rPr>
          <w:color w:val="555555"/>
          <w:sz w:val="17"/>
        </w:rPr>
        <w:t xml:space="preserve">Zitiervorschlag: § 19 PostRDV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https://recht.nulegal.eu/gesetze/PostRDV/19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