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PostRDV — Anpassungsauftrag</w:t>
      </w:r>
    </w:p>
    <w:p>
      <w:r>
        <w:rPr>
          <w:color w:val="555555"/>
          <w:sz w:val="18"/>
        </w:rPr>
        <w:t xml:space="preserve">Renten Service 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Durchführung der Anpassung von Geldleistungen durch den Renten Service setzt einen entsprechenden Auftrag der Träger der Rentenversicherung voraus (Anpassungsauftrag).</w:t>
      </w:r>
    </w:p>
    <w:p>
      <w:r>
        <w:t xml:space="preserve">(2) Der Anpassungsauftrag hat die Anpassungsprogramme und alle sonstigen Angaben zu enthalten, die für die Anpassung und die Erfüllung der damit im Zusammenhang stehenden Aufgaben erforderlich sind.</w:t>
      </w:r>
    </w:p>
    <w:p>
      <w:r>
        <w:rPr>
          <w:color w:val="555555"/>
          <w:sz w:val="17"/>
        </w:rPr>
        <w:t xml:space="preserve">Zitiervorschlag: § 17 PostRDV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https://recht.nulegal.eu/gesetze/PostRDV/17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