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PostRDV — Zahlungseinstellung durch den Renten Service</w:t>
      </w:r>
    </w:p>
    <w:p>
      <w:r>
        <w:rPr>
          <w:color w:val="555555"/>
          <w:sz w:val="18"/>
        </w:rPr>
        <w:t xml:space="preserve">Renten Service 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Renten Service stellt die Zahlung laufender Geldleistungen auch ohne Auftrag des zuständigen Trägers der Rentenversicherung ein, wenn</w:t>
      </w:r>
    </w:p>
    <w:p>
      <w:pPr>
        <w:ind w:left="420"/>
      </w:pPr>
      <w:r>
        <w:t xml:space="preserve">1. der Zahlungsempfänger die Annahme der Zahlung verweigert oder erklärt, zum Empfang der Zahlung nicht mehr berechtigt zu sein, oder</w:t>
      </w:r>
    </w:p>
    <w:p>
      <w:pPr>
        <w:ind w:left="420"/>
      </w:pPr>
      <w:r>
        <w:t xml:space="preserve">2. dem Renten Service bekannt wird, daß der Zahlungsempfänger gestorben ist und er diese Kenntnis im Rahmen eines angemessenen Verwaltungsaufwands einem Zahlfall zuordnen kann.</w:t>
      </w:r>
    </w:p>
    <w:p>
      <w:r>
        <w:t xml:space="preserve">Zurückgeflossene Beträge sind in die nächste Monatsübersicht aufzunehmen.</w:t>
      </w:r>
    </w:p>
    <w:p>
      <w:r>
        <w:t xml:space="preserve">(2) Der Renten Service stellt die Zahlung laufender Geldleistungen auch ohne Auftrag des zuständigen Trägers der Rentenversicherung ein, wenn ihm bekannt wird, daß</w:t>
      </w:r>
    </w:p>
    <w:p>
      <w:pPr>
        <w:ind w:left="420"/>
      </w:pPr>
      <w:r>
        <w:t xml:space="preserve">1. Berechtigte gestorben sind oder</w:t>
      </w:r>
    </w:p>
    <w:p>
      <w:pPr>
        <w:ind w:left="420"/>
      </w:pPr>
      <w:r>
        <w:t xml:space="preserve">2. Berechtigte einer Witwenrente, einer Witwerrente oder einer Erziehungsrente wieder geheiratet oder eine Eingetragene Lebenspartnerschaft begründet haben,</w:t>
      </w:r>
    </w:p>
    <w:p>
      <w:r>
        <w:t xml:space="preserve">und er diese Kenntnis im Rahmen eines angemessenen Verwaltungsaufwands einem Zahlfall zuordnen kann.</w:t>
      </w:r>
    </w:p>
    <w:p>
      <w:r>
        <w:t xml:space="preserve">(3) Die Deutsche Rentenversicherung Bund und der Renten Service können vereinbaren, daß der Renten Service die Zahlung laufender Geldleistungen auch in anderen als den in Absatz 1 oder 2 genannten Fällen ohne Auftrag des zuständigen Trägers der Rentenversicherung einstellt, wenn andere als die in Absatz 1 genannten Auszahlungshindernisse vorliegen oder der der Zahlung zugrundeliegende Leistungsbescheid aus anderen als den in Absatz 2 genannten Gründen unwirksam geworden ist. In der Vereinbarung ist sicherzustellen, daß die Betroffenen über die Zahlungseinstellung und deren Gründe unverzüglich unterrichtet werden.</w:t>
      </w:r>
    </w:p>
    <w:p>
      <w:r>
        <w:rPr>
          <w:color w:val="555555"/>
          <w:sz w:val="17"/>
        </w:rPr>
        <w:t xml:space="preserve">Zitiervorschlag: § 15 PostRDV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https://recht.nulegal.eu/gesetze/PostRDV/15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