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PostRDV — Änderungen von Zahlungsdaten oder der Zahlweise durch die Berechtigten oder Zahlungsempfänger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Berechtigten oder Zahlungsempfänger sollen</w:t>
      </w:r>
    </w:p>
    <w:p>
      <w:pPr>
        <w:ind w:left="420"/>
      </w:pPr>
      <w:r>
        <w:t xml:space="preserve">1. Änderungen in den tatsächlichen oder rechtlichen Verhältnissen, die für die Auszahlung von Bedeutung sind, und</w:t>
      </w:r>
    </w:p>
    <w:p>
      <w:pPr>
        <w:ind w:left="420"/>
      </w:pPr>
      <w:r>
        <w:t xml:space="preserve">2. eine gewünschte Änderung der Zahlungsweise</w:t>
      </w:r>
    </w:p>
    <w:p>
      <w:r>
        <w:t xml:space="preserve">unmittelbar dem Renten Service mitteilen. Die Berücksichtigung von Namensänderungen setzt voraus, daß diese dem Renten Service nachgewiesen werden.</w:t>
      </w:r>
    </w:p>
    <w:p>
      <w:r>
        <w:rPr>
          <w:color w:val="555555"/>
          <w:sz w:val="17"/>
        </w:rPr>
        <w:t xml:space="preserve">Zitiervorschlag: § 13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