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PostRDV — Nicht zugegangene Zahlungen</w:t>
      </w:r>
    </w:p>
    <w:p>
      <w:r>
        <w:rPr>
          <w:color w:val="555555"/>
          <w:sz w:val="18"/>
        </w:rPr>
        <w:t xml:space="preserve">Renten Service 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Renten Service unterstützt die Zahlungsempfänger bei Nachforschungen nach dem Verbleib von Zahlungen, die vom Renten Service ordnungsgemäß veranlaßt wurden, aber dem Empfänger nicht zugegangen sind.</w:t>
      </w:r>
    </w:p>
    <w:p>
      <w:r>
        <w:t xml:space="preserve">(2) Bei laufenden Inlandszahlungen, die nicht durch Überweisung auf ein Konto erfolgen, kann der Renten Service in den Fällen des Absatzes 1 auf Antrag einen Vorschuß zahlen. Die Form der Auszahlung richtet sich nach den Umständen des Einzelfalls. § 42 Abs. 2 und 3 des Ersten Buches Sozialgesetzbuch gilt entsprechend.</w:t>
      </w:r>
    </w:p>
    <w:p>
      <w:r>
        <w:rPr>
          <w:color w:val="555555"/>
          <w:sz w:val="17"/>
        </w:rPr>
        <w:t xml:space="preserve">Zitiervorschlag: § 11 PostRDV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https://recht.nulegal.eu/gesetze/PostRDV/11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