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PostPersRG — Umwandlung und Auflösung</w:t>
      </w:r>
    </w:p>
    <w:p>
      <w:r>
        <w:rPr>
          <w:color w:val="555555"/>
          <w:sz w:val="18"/>
        </w:rPr>
        <w:t xml:space="preserve">Postpersonalrechtsgesetz</w:t>
      </w:r>
    </w:p>
    <w:p>
      <w:r>
        <w:rPr>
          <w:color w:val="555555"/>
          <w:sz w:val="18"/>
        </w:rPr>
        <w:t xml:space="preserve">Stand: 04.07.2020 (konsolidierte Textfassung, kein amtliches Inkrafttretensdatum)</w:t>
      </w:r>
    </w:p>
    <w:p>
      <w:r>
        <w:t xml:space="preserve">(1) Bei der Entscheidung über die Umwandlung eines Postnachfolgeunternehmens durch Verschmelzung, Spaltung (§ 123 des Umwandlungsgesetzes) oder Vermögensübertragung haben die Mitglieder des Vorstands und des Aufsichtsrats des Postnachfolgeunternehmens zu berücksichtigen:</w:t>
      </w:r>
    </w:p>
    <w:p>
      <w:pPr>
        <w:ind w:left="420"/>
      </w:pPr>
      <w:r>
        <w:t xml:space="preserve">1. die Belange der bei dem Postnachfolgeunternehmen beschäftigten Beamten und</w:t>
      </w:r>
    </w:p>
    <w:p>
      <w:pPr>
        <w:ind w:left="420"/>
      </w:pPr>
      <w:r>
        <w:t xml:space="preserve">2. das Interesse des Dienstherrn Bundesrepublik Deutschland an der weiteren Erfüllung der Verpflichtungen des Postnachfolgeunternehmens nach diesem Gesetz, dem Bundesanstalt-Post-Gesetz, dem Gesetz zur Errichtung der Berufsgenossenschaft Verkehrswirtschaft Post-Logistik Telekommunikation, dem Gesetz zur Errichtung einer Museumsstiftung Post und Telekommunikation und den allgemeinen beamtenrechtlichen Vorschriften.</w:t>
      </w:r>
    </w:p>
    <w:p>
      <w:r>
        <w:t xml:space="preserve">Die geplante Umwandlung ist dem Bundesministerium der Finanzen durch den Vorstand spätestens drei Monate vor der Anteilsinhaberversammlung, in der über die Umwandlung beschlossen werden soll, schriftlich anzuzeigen. Soweit die Maßnahme Auswirkungen auf die Weiterbeschäftigung der Beamten haben kann, steht dem Bundesministerium der Finanzen ein Recht auf uneingeschränkte Information durch den Vorstand und den Aufsichtsrat zu.</w:t>
      </w:r>
    </w:p>
    <w:p>
      <w:r>
        <w:t xml:space="preserve">(2) Soweit es nicht ausgeschlossen erscheint, dass nach der Umwandlung die Erfüllung der gegenwärtigen und zukünftigen Zahlungs- und Kostentragungspflichten des Postnachfolgeunternehmens nach den in Absatz 1 Satz 1 Nummer 2 genannten Vorschriften gefährdet ist, ordnet das Bundesministerium der Finanzen im Einvernehmen mit dem Bundesministerium des Innern, für Bau und Heimat und dem Bundesministerium für Wirtschaft und Energie an, dass das Postnachfolgeunternehmen der Bundesrepublik Deutschland für die Erfüllung Sicherheit zu leisten hat, und bestimmt Art und Höhe der Sicherheit. Widerspruch und Anfechtungsklage gegen die Entscheidung nach Satz 1 haben keine aufschiebende Wirkung.</w:t>
      </w:r>
    </w:p>
    <w:p>
      <w:r>
        <w:t xml:space="preserve">(3) Die Mitglieder des Vorstands und des Aufsichtsrats des Postnachfolgeunternehmens sind der Bundesrepublik Deutschland als Gesamtschuldner zum Ersatz des Schadens verpflichtet, den diese erleidet, wenn nach einer Umwandlung die gegenwärtigen und zukünftigen Zahlungs- und Kostentragungspflichten des Postnachfolgeunternehmens nach den in Absatz 1 Satz 1 Nummer 2 genannten Vorschriften nicht erfüllt werden. Ein Mitglied des Vorstands oder des Aufsichtsrats ist von der Ersatzpflicht befreit, wenn</w:t>
      </w:r>
    </w:p>
    <w:p>
      <w:pPr>
        <w:ind w:left="420"/>
      </w:pPr>
      <w:r>
        <w:t xml:space="preserve">1. es seine Pflichten nach Absatz 1 beachtet hat,</w:t>
      </w:r>
    </w:p>
    <w:p>
      <w:pPr>
        <w:ind w:left="420"/>
      </w:pPr>
      <w:r>
        <w:t xml:space="preserve">2. die nach Absatz 2 festgesetzte Sicherheit geleistet worden ist oder</w:t>
      </w:r>
    </w:p>
    <w:p>
      <w:pPr>
        <w:ind w:left="420"/>
      </w:pPr>
      <w:r>
        <w:t xml:space="preserve">3. die Zahlungs- und Kostentragungspflichten auch ohne die Umwandlung nicht hätten erfüllt werden können.</w:t>
      </w:r>
    </w:p>
    <w:p>
      <w:r>
        <w:t xml:space="preserve">Der Schadensersatzanspruch verjährt in zehn Jahren. Die Verjährungsfrist beginnt mit dem Schluss des Jahres, in dem die Umwandlung wirksam wird. Die §§ 203 bis 217, 249 Absatz 1 sowie die §§ 251 und 252 des Bürgerlichen Gesetzbuchs gelten entsprechend.</w:t>
      </w:r>
    </w:p>
    <w:p>
      <w:r>
        <w:t xml:space="preserve">(4) Für diese Ansprüche sowie für alle Ansprüche der Bundesrepublik Deutschland und der Bundesanstalt für Post und Telekommunikation Deutsche Bundespost nach den in Absatz 1 Satz 1 Nummer 2 genannten Vorschriften gilt das Postnachfolgeunternehmen als unverändert fortbestehend.</w:t>
      </w:r>
    </w:p>
    <w:p>
      <w:r>
        <w:t xml:space="preserve">(5) Die Absätze 1 bis 4 gelten entsprechend, wenn ein Postnachfolgeunternehmen infolge einer Bestimmung der Satzung oder des Gesellschaftsvertrags oder durch Beschluss der Anteilsinhaber aufgelöst wird.</w:t>
      </w:r>
    </w:p>
    <w:p>
      <w:r>
        <w:rPr>
          <w:color w:val="555555"/>
          <w:sz w:val="17"/>
        </w:rPr>
        <w:t xml:space="preserve">Zitiervorschlag: § 39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