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37 PostPersRG — Schwerbehindertenvertretung</w:t>
      </w:r>
    </w:p>
    <w:p>
      <w:r>
        <w:rPr>
          <w:color w:val="555555"/>
          <w:sz w:val="18"/>
        </w:rPr>
        <w:t xml:space="preserve">Postpersonalrechtsgesetz</w:t>
      </w:r>
    </w:p>
    <w:p>
      <w:r>
        <w:rPr>
          <w:color w:val="555555"/>
          <w:sz w:val="18"/>
        </w:rPr>
        <w:t xml:space="preserve">Stand: 09.04.2021 (konsolidierte Textfassung, kein amtliches Inkrafttretensdatum)</w:t>
      </w:r>
    </w:p>
    <w:p>
      <w:r>
        <w:t xml:space="preserve">Die Vorbereitung der Neuwahl der Schwerbehindertenvertretungen bestimmt sich nach den Vorschriften des Neunten Buches Sozialgesetzbuch und der Wahlordnung Schwerbehindertenvertretung.</w:t>
      </w:r>
    </w:p>
    <w:p>
      <w:r>
        <w:rPr>
          <w:color w:val="555555"/>
          <w:sz w:val="17"/>
        </w:rPr>
        <w:t xml:space="preserve">Zitiervorschlag: § 37 PostPersRG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https://recht.nulegal.eu/gesetze/PostPersRG/37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