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PostPersRG — Sprecherausschuss</w:t>
      </w:r>
    </w:p>
    <w:p>
      <w:r>
        <w:rPr>
          <w:color w:val="555555"/>
          <w:sz w:val="18"/>
        </w:rPr>
        <w:t xml:space="preserve">Postpersonalrechtsgesetz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den Postnachfolgeunternehmen gilt nach deren Eintragung in das Handelsregister das Sprecherausschußgesetz mit den in dieser Vorschrift genannten Maßgaben.</w:t>
      </w:r>
    </w:p>
    <w:p>
      <w:r>
        <w:t xml:space="preserve">(2) Leitende Angestellte im Sinne des § 5 Abs. 3 des Betriebsverfassungsgesetzes sind auch die funktional vergleichbaren Beamten.</w:t>
      </w:r>
    </w:p>
    <w:p>
      <w:r>
        <w:t xml:space="preserve">(3) Absatz 2 gilt für die Vorschriften der Wahlordnung zum Sprecherausschussgesetz vom 28. September 1989 (BGBl. I S. 1798) entsprechend.</w:t>
      </w:r>
    </w:p>
    <w:p>
      <w:r>
        <w:t xml:space="preserve">(4) § 31 Abs. 2 des Sprecherausschußgesetzes findet für die Beamten im Hinblick auf deren Status keine Anwendung.</w:t>
      </w:r>
    </w:p>
    <w:p>
      <w:r>
        <w:rPr>
          <w:color w:val="555555"/>
          <w:sz w:val="17"/>
        </w:rPr>
        <w:t xml:space="preserve">Zitiervorschlag: § 36 PostPersRG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https://recht.nulegal.eu/gesetze/PostPersRG/36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