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PostPersRG — Gesamtbetriebsrat</w:t>
      </w:r>
    </w:p>
    <w:p>
      <w:r>
        <w:rPr>
          <w:color w:val="555555"/>
          <w:sz w:val="18"/>
        </w:rPr>
        <w:t xml:space="preserve">Postpersonalrechtsgesetz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47 bis 53 des Betriebsverfassungsgesetzes finden mit folgender Maßgabe Anwendung:</w:t>
      </w:r>
    </w:p>
    <w:p>
      <w:pPr>
        <w:ind w:left="420"/>
      </w:pPr>
      <w:r>
        <w:t xml:space="preserve">1. Den gemäß § 47 Abs. 2 des Betriebsverfassungsgesetzes in den Gesamtbetriebsrat zu entsendenden Betriebsratsmitgliedern muß ein Vertreter der Beamten angehören, der nicht gegen die Mehrheit der Vertreter der Beamten bestimmt werden kann.</w:t>
      </w:r>
    </w:p>
    <w:p>
      <w:pPr>
        <w:ind w:left="420"/>
      </w:pPr>
      <w:r>
        <w:t xml:space="preserve">2. In Angelegenheiten des § 28 hat der Vertreter der Beamten im Gesamtbetriebsrat so viele Stimmen, wie in dem Betrieb, in dem er gewählt wurde, wahlberechtigte Beamte in der Wählerliste eingetragen sind. § 47 Abs. 8 des Betriebsverfassungsgesetzes gilt entsprechend.</w:t>
      </w:r>
    </w:p>
    <w:p>
      <w:r>
        <w:t xml:space="preserve">(2) Für die Beteiligung des Gesamtbetriebsrats in den Angelegenheiten der Beamten gelten die §§ 28 bis 31 entsprechend.</w:t>
      </w:r>
    </w:p>
    <w:p>
      <w:r>
        <w:rPr>
          <w:color w:val="555555"/>
          <w:sz w:val="17"/>
        </w:rPr>
        <w:t xml:space="preserve">Zitiervorschlag: § 32 PostPersRG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https://recht.nulegal.eu/gesetze/PostPersRG/32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