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PostPersRG</w:t>
      </w:r>
    </w:p>
    <w:p>
      <w:r>
        <w:rPr>
          <w:color w:val="555555"/>
          <w:sz w:val="18"/>
        </w:rPr>
        <w:t xml:space="preserve">Postpersonalrechtsgesetz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Vorstand wird ermächtigt, für die bei den Postnachfolgeunternehmen beschäftigten Beamten von den reise- und umzugskostenrechtlichen Bestimmungen des Bundes abweichende Regelungen zu erlassen. Dabei dürfen die Bestimmungen, die für die bei den Postnachfolgeunternehmen tätigen vergleichbaren Arbeitnehmer gelten, nicht überschritten werden.</w:t>
      </w:r>
    </w:p>
    <w:p>
      <w:r>
        <w:rPr>
          <w:color w:val="555555"/>
          <w:sz w:val="17"/>
        </w:rPr>
        <w:t xml:space="preserve">Zitiervorschlag: § 12 PostPersRG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https://recht.nulegal.eu/gesetze/PostPersRG/12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