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PostLV 2012</w:t>
      </w:r>
    </w:p>
    <w:p>
      <w:r>
        <w:rPr>
          <w:color w:val="555555"/>
          <w:sz w:val="18"/>
        </w:rPr>
        <w:t xml:space="preserve">Postlaufbahnverordnung</w:t>
      </w:r>
    </w:p>
    <w:p>
      <w:r>
        <w:rPr>
          <w:color w:val="555555"/>
          <w:sz w:val="18"/>
        </w:rPr>
        <w:t xml:space="preserve">Stand: 10.06.2019 (konsolidierte Textfassung, kein amtliches Inkrafttretensdatum)</w:t>
      </w:r>
    </w:p>
    <w:p>
      <w:r>
        <w:t xml:space="preserve">Auf Grund des § 3 Absatz 3 Satz 1 Nummer 1 des Postpersonalrechtsgesetzes, der zuletzt durch Artikel 15 Absatz 104 Nummer 3 Buchstabe b Doppelbuchstabe aa des Gesetzes vom 5. Februar 2009 (BGBl. I S. 160) geändert worden ist, verordnet das Bundesministerium der Finanzen im Einvernehmen mit dem Bundesministerium des Innern nach Anhörung der Vorstände der Deutschen Telekom AG, der Deutschen Post AG und der Deutschen Postbank AG:</w:t>
      </w:r>
    </w:p>
    <w:p>
      <w:r>
        <w:rPr>
          <w:color w:val="555555"/>
          <w:sz w:val="17"/>
        </w:rPr>
        <w:t xml:space="preserve">Zitiervorschlag: Eingangsformel PostLV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https://recht.nulegal.eu/gesetze/PostLV%202012/eingangsformel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