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PostLV 2012 — Ausnahmen für besonders leistungsstarke Beamtinnen und Beamte</w:t>
      </w:r>
    </w:p>
    <w:p>
      <w:r>
        <w:rPr>
          <w:color w:val="555555"/>
          <w:sz w:val="18"/>
        </w:rPr>
        <w:t xml:space="preserve">Postlaufbahnverordnung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§ 36 der Bundeslaufbahnverordnung ist mit der Maßgabe anzuwenden, dass die oberste Dienstbehörde auch Arbeitsplätze bei inländischen Konzernunternehmen als geeignete Arbeitsposten zulassen kann.</w:t>
      </w:r>
    </w:p>
    <w:p>
      <w:r>
        <w:t xml:space="preserve">(2) Soweit betriebliche oder personalwirtschaftliche Gründe es erfordern, kann die oberste Dienstbehörde von § 36 Absatz 1 der Bundeslaufbahnverordnung abweichende, geringere persönliche Voraussetzungen festlegen. Als Mindestvoraussetzungen sind eine Dienstzeit von 20 Jahren sowie die erfolgreiche Teilnahme an einem Auswahlverfahren zu fordern.</w:t>
      </w:r>
    </w:p>
    <w:p>
      <w:r>
        <w:rPr>
          <w:color w:val="555555"/>
          <w:sz w:val="17"/>
        </w:rPr>
        <w:t xml:space="preserve">Zitiervorschlag: § 5 PostLV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https://recht.nulegal.eu/gesetze/PostLV%202012/5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