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PostLV 2012 — Gestaltung der Laufbahnen</w:t>
      </w:r>
    </w:p>
    <w:p>
      <w:r>
        <w:rPr>
          <w:color w:val="555555"/>
          <w:sz w:val="18"/>
        </w:rPr>
        <w:t xml:space="preserve">Postlaufbahnverordnung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Laufbahngruppen des einfachen, mittleren, gehobenen und höheren Dienstes treten an die Stelle der Laufbahnen nach § 6 Absatz 2 der Bundeslaufbahnverordnung die folgenden Laufbahnen:</w:t>
      </w:r>
    </w:p>
    <w:p>
      <w:pPr>
        <w:ind w:left="420"/>
      </w:pPr>
      <w:r>
        <w:t xml:space="preserve">1. der nichttechnische Postverwaltungsdienst und</w:t>
      </w:r>
    </w:p>
    <w:p>
      <w:pPr>
        <w:ind w:left="420"/>
      </w:pPr>
      <w:r>
        <w:t xml:space="preserve">2. der technische Postverwaltungsdienst.</w:t>
      </w:r>
    </w:p>
    <w:p>
      <w:r>
        <w:t xml:space="preserve">(2) Die zu den Laufbahnen gehörenden Ämter sowie die dazugehörigen Amtsbezeichnungen ergeben sich aus Anlage 1.</w:t>
      </w:r>
    </w:p>
    <w:p>
      <w:r>
        <w:rPr>
          <w:color w:val="555555"/>
          <w:sz w:val="17"/>
        </w:rPr>
        <w:t xml:space="preserve">Zitiervorschlag: § 2 PostLV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https://recht.nulegal.eu/gesetze/PostLV%202012/2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