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PostLV 2012 — Geltungsbereich, Grundsätze</w:t>
      </w:r>
    </w:p>
    <w:p>
      <w:r>
        <w:rPr>
          <w:color w:val="555555"/>
          <w:sz w:val="18"/>
        </w:rPr>
        <w:t xml:space="preserve">Postlaufbahnverordnung</w:t>
      </w:r>
    </w:p>
    <w:p>
      <w:r>
        <w:rPr>
          <w:color w:val="555555"/>
          <w:sz w:val="18"/>
        </w:rPr>
        <w:t xml:space="preserve">Stand: 20.08.2021 (konsolidierte Textfassung, kein amtliches Inkrafttretensdatum)</w:t>
      </w:r>
    </w:p>
    <w:p>
      <w:r>
        <w:t xml:space="preserve">(1) Für Beamtinnen und Beamte, die bei einem Postnachfolgeunternehmen beschäftigt sind, gelten die Vorschriften der Bundeslaufbahnverordnung, soweit in dieser Verordnung nichts anderes bestimmt ist.</w:t>
      </w:r>
    </w:p>
    <w:p>
      <w:r>
        <w:t xml:space="preserve">(2) Die Bundeslaufbahnverordnung gilt mit der Maßgabe, dass an die Stelle des Einvernehmens mit dem Bundesministerium des Innern, für Bau und Heimat das Einvernehmen mit dem Bundesministerium der Finanzen tritt.</w:t>
      </w:r>
    </w:p>
    <w:p>
      <w:r>
        <w:t xml:space="preserve">(3) Eignung, Befähigung und fachliche Leistung sind an den Anforderungen des jeweiligen Postnachfolgeunternehmens zu messen.</w:t>
      </w:r>
    </w:p>
    <w:p>
      <w:r>
        <w:t xml:space="preserve">(4) Als dienstliche Gründe im Sinne der Bundeslaufbahnverordnung gelten auch betriebliche oder personalwirtschaftliche Gründe, die sich aus den organisatorischen oder personellen Strukturen der Postnachfolgeunternehmen ergeben.</w:t>
      </w:r>
    </w:p>
    <w:p>
      <w:r>
        <w:t xml:space="preserve">(5) Als Arbeitsposten im Sinne dieser Verordnung sowie als Dienstposten im Sinne der Bundeslaufbahnverordnung gelten auch Tätigkeiten bei den Postnachfolgeunternehmen oder anderen Unternehmen, die wahrgenommen werden</w:t>
      </w:r>
    </w:p>
    <w:p>
      <w:pPr>
        <w:ind w:left="420"/>
      </w:pPr>
      <w:r>
        <w:t xml:space="preserve">1. während einer Beurlaubung nach § 4 Absatz 2 des Postpersonalrechtsgesetzes oder</w:t>
      </w:r>
    </w:p>
    <w:p>
      <w:pPr>
        <w:ind w:left="420"/>
      </w:pPr>
      <w:r>
        <w:t xml:space="preserve">2. während einer Zuweisung nach § 4 Absatz 4 des Postpersonalrechtsgesetzes.</w:t>
      </w:r>
    </w:p>
    <w:p>
      <w:r>
        <w:rPr>
          <w:color w:val="555555"/>
          <w:sz w:val="17"/>
        </w:rPr>
        <w:t xml:space="preserve">Zitiervorschlag: § 1 PostLV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