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PostLEntgV</w:t>
      </w:r>
    </w:p>
    <w:p>
      <w:r>
        <w:rPr>
          <w:color w:val="555555"/>
          <w:sz w:val="18"/>
        </w:rPr>
        <w:t xml:space="preserve">Postleistungsentgeltverordnung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10 Abs. 2 des Postpersonalrechtsgesetzes vom 14. September 1994 (BGBl. I S. 2325, 2353), der durch Artikel 1 Nr. 5 Buchstabe a des Gesetzes vom 9. November 2004 (BGBl. I S. 2774) neu gefasst worden ist, verordnet das Bundesministerium der Finanzen nach Anhörung des Vorstands der Deutschen Post AG im Einvernehmen mit dem Bundesministerium des Innern:</w:t>
      </w:r>
    </w:p>
    <w:p>
      <w:r>
        <w:rPr>
          <w:color w:val="555555"/>
          <w:sz w:val="17"/>
        </w:rPr>
        <w:t xml:space="preserve">Zitiervorschlag: Eingangsformel PostLEntgV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https://recht.nulegal.eu/gesetze/PostLEntgV/eingangsformel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