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PostLEntgV — Zielbewertung der Beamtinnen und Beamten des gehobenen und des höheren Dienstes</w:t>
      </w:r>
    </w:p>
    <w:p>
      <w:r>
        <w:rPr>
          <w:color w:val="555555"/>
          <w:sz w:val="18"/>
        </w:rPr>
        <w:t xml:space="preserve">Postleistungsentgeltverordnung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Zielbewertung ermittelt sich aus dem Verhältnis der Zielvereinbarung (§ 10) zur Zielerreichung und erfolgt nach festgelegten Zielerreichungsstufen. § 8 gilt entsprechend.</w:t>
      </w:r>
    </w:p>
    <w:p>
      <w:r>
        <w:t xml:space="preserve">(2) Ist am Ende des Beurteilungszeitraums eine Zielbewertung nicht möglich, ist dies schriftlich festzuhalten. Die Höhe des Leistungsentgelts richtet sich in diesem Fall ausschließlich nach der Leistungsbeurteilung.</w:t>
      </w:r>
    </w:p>
    <w:p>
      <w:r>
        <w:rPr>
          <w:color w:val="555555"/>
          <w:sz w:val="17"/>
        </w:rPr>
        <w:t xml:space="preserve">Zitiervorschlag: § 9 PostLEntgV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https://recht.nulegal.eu/gesetze/PostLEntgV/9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