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PostLEntgV — Leistungsbeurteilung der Beamtinnen und Beamten des gehobenen und höheren Dienstes</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Die Leistungsbeurteilung erfolgt im Januar des auf den Beurteilungszeitraum folgenden Jahres unter Verwendung von Formblättern nach festgelegten Beurteilungskriterien und Beurteilungsstufen.</w:t>
      </w:r>
    </w:p>
    <w:p>
      <w:r>
        <w:t xml:space="preserve">(2) Wer die Dienstvorgesetztenbefugnisse gegenüber der Beamtin oder dem Beamten wahrnimmt, eröffnet ihr oder ihm die Leistungsbeurteilung spätestens am 31. März des auf den Beurteilungszeitraum folgenden Jahres im Rahmen eines Gesprächs. Dies kann auch durch eine Beauftragte oder einen Beauftragten geschehen.</w:t>
      </w:r>
    </w:p>
    <w:p>
      <w:r>
        <w:rPr>
          <w:color w:val="555555"/>
          <w:sz w:val="17"/>
        </w:rPr>
        <w:t xml:space="preserve">Zitiervorschlag: § 8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