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PostLEntgV — Gesamtbeurteilung der Beamtinnen und Beamten des gehobenen und des höheren Dienstes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Gesamtbeurteilung ergibt sich zu gleichen Teilen aus der Leistungsbeurteilung (§ 8) und der Zielbewertung (§ 9), soweit diese Verordnung nichts anderes bestimmt. Die Gesamtbeurteilung wird einer Gesamtbeurteilungsstufe (§ 6 Abs. 2) zugeordnet.</w:t>
      </w:r>
    </w:p>
    <w:p>
      <w:r>
        <w:t xml:space="preserve">(2) Bis zum 15. April des auf den Beurteilungszeitraum folgenden Jahres erhält der Betriebsrat der jeweiligen Organisationseinheit eine auf Besoldungsgruppen bezogene Zusammenstellung der Gesamtbeurteilungsstufen in anonymisierter Form.</w:t>
      </w:r>
    </w:p>
    <w:p>
      <w:r>
        <w:rPr>
          <w:color w:val="555555"/>
          <w:sz w:val="17"/>
        </w:rPr>
        <w:t xml:space="preserve">Zitiervorschlag: § 7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