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PostLEntgV — Ermittlung des Zahlbetrages für die Beamtinnen und Beamten des gehobenen und des höheren Dienstes</w:t>
      </w:r>
    </w:p>
    <w:p>
      <w:r>
        <w:rPr>
          <w:color w:val="555555"/>
          <w:sz w:val="18"/>
        </w:rPr>
        <w:t xml:space="preserve">Postleistungsentgeltverordnung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Beamtinnen und Beamte wird die Höhe des Leistungsentgelts auf der Grundlage eines Richtbetrages ermittelt, der 60 Prozent des monatlichen Endgrundgehaltes der jeweiligen Besoldungsgruppe beträgt. In der Bundesbesoldungsordnung B tritt an die Stelle des monatlichen Endgrundgehaltes das monatliche Grundgehalt.</w:t>
      </w:r>
    </w:p>
    <w:p>
      <w:r>
        <w:t xml:space="preserve">(2) Das Leistungsentgelt berechnet sich wie folgt:</w:t>
      </w:r>
    </w:p>
    <w:p>
      <w:r>
        <w:rPr>
          <w:rFonts w:ascii="Courier New" w:hAnsi="Courier New"/>
          <w:sz w:val="17"/>
        </w:rPr>
        <w:t xml:space="preserve">Gesamtbeurteilungsstufe    Leistungsentgelt in Prozent des Richtbetrages</w:t>
      </w:r>
    </w:p>
    <w:p>
      <w:r>
        <w:rPr>
          <w:rFonts w:ascii="Courier New" w:hAnsi="Courier New"/>
          <w:sz w:val="17"/>
        </w:rPr>
        <w:t xml:space="preserve">erfüllt nicht die Anforderungen    0 %</w:t>
      </w:r>
    </w:p>
    <w:p>
      <w:r>
        <w:rPr>
          <w:rFonts w:ascii="Courier New" w:hAnsi="Courier New"/>
          <w:sz w:val="17"/>
        </w:rPr>
        <w:t xml:space="preserve">erfüllt annähernd die Anforderungen    75 %</w:t>
      </w:r>
    </w:p>
    <w:p>
      <w:r>
        <w:rPr>
          <w:rFonts w:ascii="Courier New" w:hAnsi="Courier New"/>
          <w:sz w:val="17"/>
        </w:rPr>
        <w:t xml:space="preserve">voll und ganz zufriedenstellend    100 %</w:t>
      </w:r>
    </w:p>
    <w:p>
      <w:r>
        <w:rPr>
          <w:rFonts w:ascii="Courier New" w:hAnsi="Courier New"/>
          <w:sz w:val="17"/>
        </w:rPr>
        <w:t xml:space="preserve">übertrifft die Anforderungen    125 %</w:t>
      </w:r>
    </w:p>
    <w:p>
      <w:r>
        <w:rPr>
          <w:rFonts w:ascii="Courier New" w:hAnsi="Courier New"/>
          <w:sz w:val="17"/>
        </w:rPr>
        <w:t xml:space="preserve">übertrifft deutlich die Anforderungen    200 %</w:t>
      </w:r>
    </w:p>
    <w:p>
      <w:r>
        <w:t xml:space="preserve">(3) § 4 Abs. 3 und 4 gilt entsprechend.</w:t>
      </w:r>
    </w:p>
    <w:p>
      <w:r>
        <w:rPr>
          <w:color w:val="555555"/>
          <w:sz w:val="17"/>
        </w:rPr>
        <w:t xml:space="preserve">Zitiervorschlag: § 6 PostLEntgV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https://recht.nulegal.eu/gesetze/PostLEntgV/6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