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PostLEntgV — Durchführung der Leistungsbeurteilung für die Beamtinnen und Beamten des einfachen und des mittleren Dienstes</w:t>
      </w:r>
    </w:p>
    <w:p>
      <w:r>
        <w:rPr>
          <w:color w:val="555555"/>
          <w:sz w:val="18"/>
        </w:rPr>
        <w:t xml:space="preserve">Postleistungsentgeltverordnung</w:t>
      </w:r>
    </w:p>
    <w:p>
      <w:r>
        <w:rPr>
          <w:color w:val="555555"/>
          <w:sz w:val="18"/>
        </w:rPr>
        <w:t xml:space="preserve">Stand: 10.06.2019 (konsolidierte Textfassung, kein amtliches Inkrafttretensdatum)</w:t>
      </w:r>
    </w:p>
    <w:p>
      <w:r>
        <w:t xml:space="preserve">(1) Die Leistungsbeurteilung ist unter Verwendung eines Formblatts nach festgelegten Beurteilungskriterien durch Punktevergabe vorzunehmen. Die sich aus der Leistungsbeurteilung ergebende Gesamtpunktzahl ist einer Gesamtbeurteilungsstufe im Sinne des § 4 Abs. 1 zuzuordnen.</w:t>
      </w:r>
    </w:p>
    <w:p>
      <w:r>
        <w:t xml:space="preserve">(2) Wer Dienstvorgesetztenbefugnisse gegenüber der Beamtin oder dem Beamten wahrnimmt, nimmt die Leistungsbeurteilung im Januar des auf den Beurteilungszeitraum folgenden Jahres vor und gibt sie der Beamtin oder dem Beamten spätestens zum 31. März desselben Jahres im Rahmen eines Gesprächs bekannt. Dies kann auch durch eine Beauftragte oder einen Beauftragten geschehen.</w:t>
      </w:r>
    </w:p>
    <w:p>
      <w:r>
        <w:t xml:space="preserve">(3) Der Betriebsrat erhält bis 15. April desselben Jahres eine Zusammenstellung der Ergebnisse der Leistungsbeurteilungen der einzelnen Besoldungsgruppen in anonymisierter Form.</w:t>
      </w:r>
    </w:p>
    <w:p>
      <w:r>
        <w:rPr>
          <w:color w:val="555555"/>
          <w:sz w:val="17"/>
        </w:rPr>
        <w:t xml:space="preserve">Zitiervorschlag: § 5 PostLEntgV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https://recht.nulegal.eu/gesetze/PostLEntgV/5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