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PostLEntgV — Übergangsregelung</w:t>
      </w:r>
    </w:p>
    <w:p>
      <w:r>
        <w:rPr>
          <w:color w:val="555555"/>
          <w:sz w:val="18"/>
        </w:rPr>
        <w:t xml:space="preserve">Postleistungsentgeltverordnung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Für die Jahre 2012 bis 2041 wird kein Leistungsentgelt nach § 1 gezahlt.</w:t>
      </w:r>
    </w:p>
    <w:p>
      <w:r>
        <w:rPr>
          <w:color w:val="555555"/>
          <w:sz w:val="17"/>
        </w:rPr>
        <w:t xml:space="preserve">Zitiervorschlag: § 13 PostLEntgV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https://recht.nulegal.eu/gesetze/PostLEntgV/13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