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PostG-ÜbertrV</w:t>
      </w:r>
    </w:p>
    <w:p>
      <w:r>
        <w:rPr>
          <w:color w:val="555555"/>
          <w:sz w:val="18"/>
        </w:rPr>
        <w:t xml:space="preserve">PostG-Übertragungsverordnung</w:t>
      </w:r>
    </w:p>
    <w:p>
      <w:r>
        <w:rPr>
          <w:color w:val="555555"/>
          <w:sz w:val="18"/>
        </w:rPr>
        <w:t xml:space="preserve">Stand: 31.10.2024 (konsolidierte Textfassung, kein amtliches Inkrafttretensdatum)</w:t>
      </w:r>
    </w:p>
    <w:p>
      <w:r>
        <w:t xml:space="preserve">Auf Grund des § 34 Absatz 8 Satz 2 des Postgesetzes vom 15. Juli 2024 (BGBl. 2024 I Nr. 236) verordnet das Bundesministerium für Wirtschaft und Energie:</w:t>
      </w:r>
    </w:p>
    <w:p>
      <w:r>
        <w:rPr>
          <w:color w:val="555555"/>
          <w:sz w:val="17"/>
        </w:rPr>
        <w:t xml:space="preserve">Zitiervorschlag: Eingangsformel PostG-ÜbertrV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https://recht.nulegal.eu/gesetze/PostG-%C3%9CbertrV/eingangsformel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