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PostG-ÜbertrV — Inkrafttreten</w:t>
      </w:r>
    </w:p>
    <w:p>
      <w:r>
        <w:rPr>
          <w:color w:val="555555"/>
          <w:sz w:val="18"/>
        </w:rPr>
        <w:t xml:space="preserve">PostG-Übertragungsverordnung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PostG-ÜbertrV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https://recht.nulegal.eu/gesetze/PostG-%C3%9CbertrV/2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