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PostG-ÜbertrV — Übertragung der Verordnungsermächtigung</w:t>
      </w:r>
    </w:p>
    <w:p>
      <w:r>
        <w:rPr>
          <w:color w:val="555555"/>
          <w:sz w:val="18"/>
        </w:rPr>
        <w:t xml:space="preserve">PostG-Übertragungsverordnung</w:t>
      </w:r>
    </w:p>
    <w:p>
      <w:r>
        <w:rPr>
          <w:color w:val="555555"/>
          <w:sz w:val="18"/>
        </w:rPr>
        <w:t xml:space="preserve">Stand: 31.10.2024 (konsolidierte Textfassung, kein amtliches Inkrafttretensdatum)</w:t>
      </w:r>
    </w:p>
    <w:p>
      <w:r>
        <w:t xml:space="preserve">Die Ermächtigung des § 34 Absatz 8 Satz 1 des Postgesetzes zum Erlass von Rechtsverordnungen wird auf die Bundesnetzagentur für Elektrizität, Gas, Telekommunikation, Post und Eisenbahnen übertragen.</w:t>
      </w:r>
    </w:p>
    <w:p>
      <w:r>
        <w:rPr>
          <w:color w:val="555555"/>
          <w:sz w:val="17"/>
        </w:rPr>
        <w:t xml:space="preserve">Zitiervorschlag: § 1 PostG-ÜbertrV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https://recht.nulegal.eu/gesetze/PostG-%C3%9CbertrV/1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