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PostG 2024 — Wissenschaftliche Beratung</w:t>
      </w:r>
    </w:p>
    <w:p>
      <w:r>
        <w:rPr>
          <w:color w:val="555555"/>
          <w:sz w:val="18"/>
        </w:rPr>
        <w:t xml:space="preserve">Postgesetz</w:t>
      </w:r>
    </w:p>
    <w:p>
      <w:r>
        <w:rPr>
          <w:color w:val="555555"/>
          <w:sz w:val="18"/>
        </w:rPr>
        <w:t xml:space="preserve">Stand: 19.07.2024 (konsolidierte Textfassung, kein amtliches Inkrafttretensdatum)</w:t>
      </w:r>
    </w:p>
    <w:p>
      <w:r>
        <w:t xml:space="preserve">Die Bundesnetzagentur kann zur Vorbereitung ihrer Entscheidungen oder zur Begutachtung von Fragen der Regulierung wissenschaftliche Kommissionen einsetzen. Ihre Mitglieder müssen im Postsektor über besondere volkswirtschaftliche, betriebswirtschaftliche, sozialpolitische, technologische oder rechtliche Erfahrungen und über ausgewiesene wissenschaftliche Kenntnisse verfügen.</w:t>
      </w:r>
    </w:p>
    <w:p>
      <w:r>
        <w:rPr>
          <w:color w:val="555555"/>
          <w:sz w:val="17"/>
        </w:rPr>
        <w:t xml:space="preserve">Zitiervorschlag: § 83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