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PostG 2024 — Rechte des Beirats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(1) Der Beirat nach § 5 des Gesetzes über die Bundesnetzagentur für Elektrizität, Gas, Telekommunikation, Post und Eisenbahnen ist der Bundesnetzagentur gegenüber berechtigt,</w:t>
      </w:r>
    </w:p>
    <w:p>
      <w:pPr>
        <w:ind w:left="420"/>
      </w:pPr>
      <w:r>
        <w:t xml:space="preserve">1. Maßnahmen zur Umsetzung der Regulierungsziele und zur Sicherstellung des Universaldienstes zu beantragen oder</w:t>
      </w:r>
    </w:p>
    <w:p>
      <w:pPr>
        <w:ind w:left="420"/>
      </w:pPr>
      <w:r>
        <w:t xml:space="preserve">2. Auskünfte und Stellungnahmen einzuholen.</w:t>
      </w:r>
    </w:p>
    <w:p>
      <w:r>
        <w:t xml:space="preserve">(2) Die Bundesnetzagentur ist gegenüber dem Beirat auskunftspflichtig. Sie ist verpflichtet, Anträge nach Absatz 1 Nummer 1 innerhalb von sechs Wochen zu bescheiden.</w:t>
      </w:r>
    </w:p>
    <w:p>
      <w:r>
        <w:rPr>
          <w:color w:val="555555"/>
          <w:sz w:val="17"/>
        </w:rPr>
        <w:t xml:space="preserve">Zitiervorschlag: § 82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