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PostG 2024 — Folgen von Löschung und Versagung der Eintragung</w:t>
      </w:r>
    </w:p>
    <w:p>
      <w:r>
        <w:rPr>
          <w:color w:val="555555"/>
          <w:sz w:val="18"/>
        </w:rPr>
        <w:t xml:space="preserve">Postgesetz</w:t>
      </w:r>
    </w:p>
    <w:p>
      <w:r>
        <w:rPr>
          <w:color w:val="555555"/>
          <w:sz w:val="18"/>
        </w:rPr>
        <w:t xml:space="preserve">Stand: 19.07.2024 (konsolidierte Textfassung, kein amtliches Inkrafttretensdatum)</w:t>
      </w:r>
    </w:p>
    <w:p>
      <w:r>
        <w:t xml:space="preserve">(1) Wurde einem Anbieter die Eintragung in das Anbieterverzeichnis nach § 4 Absatz 4 Nummer 1 versagt oder wurde er aufgrund einer Entscheidung nach § 4 Absatz 5 wegen Unzuverlässigkeit nach § 4 Absatz 4 Nummer 1 aus dem Anbieterverzeichnis gelöscht, teilt die Bundesnetzagentur dies der Registerbehörde nach § 149 Absatz 3 Satz 1 der Gewerbeordnung mit.</w:t>
      </w:r>
    </w:p>
    <w:p>
      <w:r>
        <w:t xml:space="preserve">(2) In den Fällen des Absatzes 1 kann einem neuerlichen Antrag auf Eintragung in das Anbieterverzeichnis erst dann stattgegeben werden, wenn der Grund für die Löschung oder die Versagung der Eintragung nicht mehr vorliegt. Innerhalb eines Jahres nach Löschung oder Versagung der Eintragung kann einem neuerlichen Antrag auf Eintragung nur aus besonderen Gründen stattgegeben werden.</w:t>
      </w:r>
    </w:p>
    <w:p>
      <w:r>
        <w:rPr>
          <w:color w:val="555555"/>
          <w:sz w:val="17"/>
        </w:rPr>
        <w:t xml:space="preserve">Zitiervorschlag: § 8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