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PostG 2024 — Ökologisch nachhaltiger Postsektor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Stand: 19.07.2024 (konsolidierte Textfassung, kein amtliches Inkrafttretensdatum)</w:t>
      </w:r>
    </w:p>
    <w:p>
      <w:r>
        <w:t xml:space="preserve">(1) Zur Verwirklichung eines ökologisch nachhaltigen Postsektors im Sinne des § 2 Absatz 2 Nummer 4 soll der Postsektor einen angemessenen Beitrag zur Reduzierung der Treibhausgasemissionen leisten und damit zur Erreichung der im Bundes-Klimaschutzgesetz festgelegten nationalen Klimaschutzziele beitragen.</w:t>
      </w:r>
    </w:p>
    <w:p>
      <w:r>
        <w:t xml:space="preserve">(2) Die Bundesregierung wird die klimapolitischen Fortschritte des Postsektors durch die Berichterstattung der Bundesnetzagentur nach § 76 Absatz 1 und den Klimadialog nach § 77 regelmäßig überprüfen.</w:t>
      </w:r>
    </w:p>
    <w:p>
      <w:r>
        <w:rPr>
          <w:color w:val="555555"/>
          <w:sz w:val="17"/>
        </w:rPr>
        <w:t xml:space="preserve">Zitiervorschlag: § 75 PostG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https://recht.nulegal.eu/gesetze/PostG%202024/75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