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PostG 2024 — Haftung bei der Durchführung förmlicher Zustellungen</w:t>
      </w:r>
    </w:p>
    <w:p>
      <w:r>
        <w:rPr>
          <w:color w:val="555555"/>
          <w:sz w:val="18"/>
        </w:rPr>
        <w:t xml:space="preserve">Postgesetz</w:t>
      </w:r>
    </w:p>
    <w:p>
      <w:r>
        <w:rPr>
          <w:color w:val="555555"/>
          <w:sz w:val="18"/>
        </w:rPr>
        <w:t xml:space="preserve">Stand: 19.07.2024 (konsolidierte Textfassung, kein amtliches Inkrafttretensdatum)</w:t>
      </w:r>
    </w:p>
    <w:p>
      <w:r>
        <w:t xml:space="preserve">Für Schäden, die durch eine Pflichtverletzung bei der Durchführung der förmlichen Zustellung entstehen, haftet der Anbieter nach den Vorschriften über die Schadensersatzpflicht eines öffentlich-rechtlichen Dienstherrn für seine Bediensteten im hoheitlichen Bereich.</w:t>
      </w:r>
    </w:p>
    <w:p>
      <w:r>
        <w:rPr>
          <w:color w:val="555555"/>
          <w:sz w:val="17"/>
        </w:rPr>
        <w:t xml:space="preserve">Zitiervorschlag: § 63 PostG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https://recht.nulegal.eu/gesetze/PostG%202024/63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