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PostG 2024 — Entgelte für förmliche Zustellungen</w:t>
      </w:r>
    </w:p>
    <w:p>
      <w:r>
        <w:rPr>
          <w:color w:val="555555"/>
          <w:sz w:val="18"/>
        </w:rPr>
        <w:t xml:space="preserve">Postgesetz</w:t>
      </w:r>
    </w:p>
    <w:p>
      <w:r>
        <w:rPr>
          <w:color w:val="555555"/>
          <w:sz w:val="18"/>
        </w:rPr>
        <w:t xml:space="preserve">Stand: 19.07.2024 (konsolidierte Textfassung, kein amtliches Inkrafttretensdatum)</w:t>
      </w:r>
    </w:p>
    <w:p>
      <w:r>
        <w:t xml:space="preserve">Der nach § 61 verpflichtete Anbieter hat Anspruch auf ein Entgelt. Durch dieses werden alle von dem Anbieter erbrachten Leistungen einschließlich der hoheitlichen Beurkundung und Rücksendung der Beurkundungsunterlagen an die auftraggebende Stelle abgegolten. Das Entgelt bedarf der Genehmigung durch die Bundesnetzagentur nach den §§ 42 bis 48, falls der Anbieter auf einem Briefmarkt marktbeherrschend ist.</w:t>
      </w:r>
    </w:p>
    <w:p>
      <w:r>
        <w:rPr>
          <w:color w:val="555555"/>
          <w:sz w:val="17"/>
        </w:rPr>
        <w:t xml:space="preserve">Zitiervorschlag: § 62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