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 PostG 2024 — Vorteilsabschöpfung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Stand: 19.07.2024 (konsolidierte Textfassung, kein amtliches Inkrafttretensdatum)</w:t>
      </w:r>
    </w:p>
    <w:p>
      <w:r>
        <w:t xml:space="preserve">(1) Hat ein Unternehmen gegen eine Verfügung der Bundesnetzagentur nach § 58 Absatz 3 oder vorsätzlich oder fahrlässig gegen eine andere Verfügung oder eine Vorschrift des Kapitels 5 verstoßen und dadurch einen wirtschaftlichen Vorteil erlangt, kann die Bundesnetzagentur die Abschöpfung des wirtschaftlichen Vorteils anordnen und dem Unternehmen die Zahlung eines entsprechenden Geldbetrags auferlegen.</w:t>
      </w:r>
    </w:p>
    <w:p>
      <w:r>
        <w:t xml:space="preserve">(2) Absatz 1 gilt nicht,</w:t>
      </w:r>
    </w:p>
    <w:p>
      <w:pPr>
        <w:ind w:left="420"/>
      </w:pPr>
      <w:r>
        <w:t xml:space="preserve">1. wenn der Verstoß aufgrund einer das Unternehmen bindenden Entscheidung der Bundesnetzagentur nach den §§ 43 und 46 erfolgte,</w:t>
      </w:r>
    </w:p>
    <w:p>
      <w:pPr>
        <w:ind w:left="420"/>
      </w:pPr>
      <w:r>
        <w:t xml:space="preserve">2. wenn die Bundesnetzagentur in den Fällen des § 50 Absatz 1 Satz 1 nicht von der Möglichkeit der vorläufigen Untersagung nach § 50 Absatz 2 Gebrauch gemacht hat oder</w:t>
      </w:r>
    </w:p>
    <w:p>
      <w:pPr>
        <w:ind w:left="420"/>
      </w:pPr>
      <w:r>
        <w:t xml:space="preserve">3. soweit der wirtschaftliche Vorteil durch Schadensersatzleistungen, durch die Festsetzung der Geldbuße, die Anordnung der Einziehung von Taterträgen oder Rückerstattung ausgeglichen ist.</w:t>
      </w:r>
    </w:p>
    <w:p>
      <w:r>
        <w:t xml:space="preserve">Soweit das Unternehmen Leistungen nach Satz 1 Nummer 3 erst nach der Vorteilsabschöpfung erbringt, ist der abgeführte Geldbetrag in Höhe der nachgewiesenen Zahlungen an das Unternehmen zurückzuerstatten.</w:t>
      </w:r>
    </w:p>
    <w:p>
      <w:r>
        <w:t xml:space="preserve">(3) § 34 Absatz 3 bis 5 des Gesetzes gegen Wettbewerbsbeschränkungen gilt entsprechend, § 34 Absatz 4 des Gesetzes gegen Wettbewerbsbeschränkungen gilt mit der Maßgabe, dass sich die Vermutung in dessen Satz 1 auf Verstöße nach Absatz 1 bezieht.</w:t>
      </w:r>
    </w:p>
    <w:p>
      <w:r>
        <w:rPr>
          <w:color w:val="555555"/>
          <w:sz w:val="17"/>
        </w:rPr>
        <w:t xml:space="preserve">Zitiervorschlag: § 60 PostG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https://recht.nulegal.eu/gesetze/PostG%202024/60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