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PostG 2024 — Zugangsvereinbarungen</w:t>
      </w:r>
    </w:p>
    <w:p>
      <w:r>
        <w:rPr>
          <w:color w:val="555555"/>
          <w:sz w:val="18"/>
        </w:rPr>
        <w:t xml:space="preserve">Postgesetz</w:t>
      </w:r>
    </w:p>
    <w:p>
      <w:r>
        <w:rPr>
          <w:color w:val="555555"/>
          <w:sz w:val="18"/>
        </w:rPr>
        <w:t xml:space="preserve">Stand: 19.07.2024 (konsolidierte Textfassung, kein amtliches Inkrafttretensdatum)</w:t>
      </w:r>
    </w:p>
    <w:p>
      <w:r>
        <w:t xml:space="preserve">(1) Ein nach § 54 verpflichtetes Unternehmen hat gegenüber anderen Anbietern von Postdienstleistungen, die Leistungen nach § 54 nachfragen, unverzüglich, spätestens aber vier Wochen nach Geltendmachung des Zugangsbegehrens, ein Angebot für eine Zugangsvereinbarung abzugeben.</w:t>
      </w:r>
    </w:p>
    <w:p>
      <w:r>
        <w:t xml:space="preserve">(2) Vereinbarungen über Zugangsleistungen nach § 54 müssen auf objektiven Maßstäben beruhen, nachvollziehbar sein, einen gleichwertigen Zugang gewähren und den Geboten von Chancengleichheit und Billigkeit genügen. Das nach § 54 verpflichtete Unternehmen hat insbesondere anderen Anbietern, die gleichwertige Postdienstleistungen erbringen, unter den gleichen Umständen gleichwertige Bedingungen anzubieten sowie Dienste und Informationen zu den gleichen Bedingungen und in der gleichen Qualität bereitzustellen wie für seine eigenen Produkte oder für seine Tochter- oder Partnerunternehmen.</w:t>
      </w:r>
    </w:p>
    <w:p>
      <w:r>
        <w:t xml:space="preserve">(3) Ein nach § 54 verpflichtetes Unternehmen hat den zum Zugang berechtigten Anbietern alle für die Inanspruchnahme der Zugangsleistungen benötigten Informationen zur Verfügung zu stellen, insbesondere die Bereitstellungs- und Nutzungsbedingungen sowie die zu zahlenden Entgelte. Über die Änderung von Bedingungen und Entgelten nach Satz 1 sind Nachfrager von Zugangsleitungen frühzeitig zu informieren.</w:t>
      </w:r>
    </w:p>
    <w:p>
      <w:r>
        <w:t xml:space="preserve">(4) Geschlossene Zugangsvereinbarungen sowie Änderungen geschlossener Zugangsvereinbarungen sind der Bundesnetzagentur unverzüglich vorzulegen.</w:t>
      </w:r>
    </w:p>
    <w:p>
      <w:r>
        <w:t xml:space="preserve">(5) Die Bundesnetzagentur legt durch Allgemeinverfügung fest,</w:t>
      </w:r>
    </w:p>
    <w:p>
      <w:pPr>
        <w:ind w:left="420"/>
      </w:pPr>
      <w:r>
        <w:t xml:space="preserve">1. in welchem Umfang und in welcher Form Informationen nach Absatz 3 Satz 1,</w:t>
      </w:r>
    </w:p>
    <w:p>
      <w:pPr>
        <w:ind w:left="420"/>
      </w:pPr>
      <w:r>
        <w:t xml:space="preserve">2. in welchem Umfang, in welcher Form und zu welchem Zeitpunkt Informationen nach Absatz 3 Satz 2 und</w:t>
      </w:r>
    </w:p>
    <w:p>
      <w:pPr>
        <w:ind w:left="420"/>
      </w:pPr>
      <w:r>
        <w:t xml:space="preserve">3. in welchem Umfang, in welcher Form und zu welchem Zeitpunkt Zugangsvereinbarungen nach Absatz 4</w:t>
      </w:r>
    </w:p>
    <w:p>
      <w:r>
        <w:t xml:space="preserve">zur Verfügung zu stellen beziehungsweise vorzulegen sind.</w:t>
      </w:r>
    </w:p>
    <w:p>
      <w:r>
        <w:rPr>
          <w:color w:val="555555"/>
          <w:sz w:val="17"/>
        </w:rPr>
        <w:t xml:space="preserve">Zitiervorschlag: § 55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