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48 PostG 2024 — Abweichung von genehmigten Entgelten</w:t>
      </w:r>
    </w:p>
    <w:p>
      <w:r>
        <w:rPr>
          <w:color w:val="555555"/>
          <w:sz w:val="18"/>
        </w:rPr>
        <w:t xml:space="preserve">Postgesetz</w:t>
      </w:r>
    </w:p>
    <w:p>
      <w:r>
        <w:rPr>
          <w:color w:val="555555"/>
          <w:sz w:val="18"/>
        </w:rPr>
        <w:t xml:space="preserve">Stand: 19.07.2024 (konsolidierte Textfassung, kein amtliches Inkrafttretensdatum)</w:t>
      </w:r>
    </w:p>
    <w:p>
      <w:r>
        <w:t xml:space="preserve">(1) Marktbeherrschende Unternehmen dürfen nur die von der Bundesnetzagentur genehmigten Entgelte verlangen.</w:t>
      </w:r>
    </w:p>
    <w:p>
      <w:r>
        <w:t xml:space="preserve">(2) Verträge über Dienstleistungen, die andere als die genehmigten Entgelte enthalten, werden mit der Maßgabe wirksam, dass das genehmigte Entgelt an die Stelle des vereinbarten Entgelts tritt.</w:t>
      </w:r>
    </w:p>
    <w:p>
      <w:r>
        <w:t xml:space="preserve">(3) Fehlt es an einem genehmigten Entgelt, obwohl das Entgelt nach § 40 Absatz 1 genehmigungsbedürftig ist, so bleibt eine vertragliche oder gesetzliche Beförderungspflicht bestehen; die Entgeltabrede ist bis zur Genehmigung des Entgelts schwebend unwirksam.</w:t>
      </w:r>
    </w:p>
    <w:p>
      <w:r>
        <w:rPr>
          <w:color w:val="555555"/>
          <w:sz w:val="17"/>
        </w:rPr>
        <w:t xml:space="preserve">Zitiervorschlag: § 48 PostG 2024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https://recht.nulegal.eu/gesetze/PostG%202024/48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