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PostG 2024 — Price-Cap-Verfahren – Entgeltgenehmigung</w:t>
      </w:r>
    </w:p>
    <w:p>
      <w:r>
        <w:rPr>
          <w:color w:val="555555"/>
          <w:sz w:val="18"/>
        </w:rPr>
        <w:t xml:space="preserve">Postgesetz</w:t>
      </w:r>
    </w:p>
    <w:p>
      <w:r>
        <w:rPr>
          <w:color w:val="555555"/>
          <w:sz w:val="18"/>
        </w:rPr>
        <w:t xml:space="preserve">Stand: 19.07.2024 (konsolidierte Textfassung, kein amtliches Inkrafttretensdatum)</w:t>
      </w:r>
    </w:p>
    <w:p>
      <w:r>
        <w:t xml:space="preserve">(1) Die Genehmigung der Entgelte im Verfahren nach § 42 Absatz 2 Nummer 2 ist elektronisch zu beantragen. Mit dem Entgeltantrag hat das regulierte Unternehmen diejenigen Unterlagen vorzulegen, die es der Bundesnetzagentur ermöglichen, die Einhaltung der nach § 45 vorgegebenen Maßgrößen zu überprüfen. Diese Unterlagen müssen Angaben über die anteiligen Umsätze jeder Entgeltposition für den von der Bundesnetzagentur nach § 45 Absatz 5 Nummer 1 festgelegten Zeitraum enthalten.</w:t>
      </w:r>
    </w:p>
    <w:p>
      <w:r>
        <w:t xml:space="preserve">(2) Im Falle der Genehmigung nach § 42 Absatz 2 Nummer 2 gelten bei Einhaltung der festgelegten Maßgrößen die Anforderungen des § 42 Absatz 1 als erfüllt.</w:t>
      </w:r>
    </w:p>
    <w:p>
      <w:r>
        <w:t xml:space="preserve">(3) Über Entgeltanträge, die im Rahmen des Verfahrens nach § 42 Absatz 2 Nummer 2 vorgelegt werden, soll die Bundesnetzagentur innerhalb von vier Wochen entscheiden, wenn die nach § 45 vorgegebenen Maßgrößen eingehalten werden. Die Bundesnetzagentur soll die Genehmigung mit einer Befristung versehen.</w:t>
      </w:r>
    </w:p>
    <w:p>
      <w:r>
        <w:t xml:space="preserve">(4) Die Bundesnetzagentur kann einen Entgeltantrag ablehnen, wenn das Unternehmen die in Absatz 1 genannten Unterlagen nicht oder nicht vollständig vorlegt.</w:t>
      </w:r>
    </w:p>
    <w:p>
      <w:r>
        <w:t xml:space="preserve">(5) § 43 Absatz 6 und 7 gilt entsprechend.</w:t>
      </w:r>
    </w:p>
    <w:p>
      <w:r>
        <w:rPr>
          <w:color w:val="555555"/>
          <w:sz w:val="17"/>
        </w:rPr>
        <w:t xml:space="preserve">Zitiervorschlag: § 46 PostG 2024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https://recht.nulegal.eu/gesetze/PostG%202024/46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