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PostG 2024 — Price-Cap-Verfahren – Maßgrößenentscheidung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Im Verfahren nach § 42 Absatz 2 Nummer 2 bestimmt die Bundesnetzagentur den Inhalt der Körbe. Dienstleistungen werden in einem Korb zusammengefasst, wenn sich die erwartete Stärke des Wettbewerbs bei diesen Dienstleistungen nicht wesentlich unterscheidet.</w:t>
      </w:r>
    </w:p>
    <w:p>
      <w:r>
        <w:t xml:space="preserve">(2) Die Bundesnetzagentur stellt das Ausgangsentgeltniveau der in einem Korb zusammengefassten Dienstleistungen fest.</w:t>
      </w:r>
    </w:p>
    <w:p>
      <w:r>
        <w:t xml:space="preserve">(3) Die festzulegenden Maßgrößen für die Genehmigung nach § 42 Absatz 2 Nummer 2 umfassen</w:t>
      </w:r>
    </w:p>
    <w:p>
      <w:pPr>
        <w:ind w:left="420"/>
      </w:pPr>
      <w:r>
        <w:t xml:space="preserve">1. eine gesamtwirtschaftliche Preissteigerungsrate,</w:t>
      </w:r>
    </w:p>
    <w:p>
      <w:pPr>
        <w:ind w:left="420"/>
      </w:pPr>
      <w:r>
        <w:t xml:space="preserve">2. die zu erwartende Produktivitätsfortschrittsrate des regulierten Unternehmens und</w:t>
      </w:r>
    </w:p>
    <w:p>
      <w:pPr>
        <w:ind w:left="420"/>
      </w:pPr>
      <w:r>
        <w:t xml:space="preserve">3. Nebenbestimmungen, die geeignet sind, einen Missbrauch im Sinne des § 39 zu verhindern.</w:t>
      </w:r>
    </w:p>
    <w:p>
      <w:r>
        <w:t xml:space="preserve">(4) Bei der Vorgabe von Maßgrößen, insbesondere bei der Festlegung der Produktivitätsfortschrittsrate, ist das Verhältnis des Ausgangsentgeltniveaus zu den Kosten der effizienten Leistungsbereitstellung nach § 44 zu berücksichtigen.</w:t>
      </w:r>
    </w:p>
    <w:p>
      <w:r>
        <w:t xml:space="preserve">(5) Die Bundesnetzagentur bestimmt,</w:t>
      </w:r>
    </w:p>
    <w:p>
      <w:pPr>
        <w:ind w:left="420"/>
      </w:pPr>
      <w:r>
        <w:t xml:space="preserve">1. für welchen Zeitraum die Maßgrößen unverändert bleiben,</w:t>
      </w:r>
    </w:p>
    <w:p>
      <w:pPr>
        <w:ind w:left="420"/>
      </w:pPr>
      <w:r>
        <w:t xml:space="preserve">2. anhand welcher Referenzzeiträume der Vergangenheit die Einhaltung der Maßgrößen geprüft wird und</w:t>
      </w:r>
    </w:p>
    <w:p>
      <w:pPr>
        <w:ind w:left="420"/>
      </w:pPr>
      <w:r>
        <w:t xml:space="preserve">3. unter welchen Voraussetzungen der Inhalt von Körben geändert oder Preisdifferenzierungen innerhalb eines Korbes durchgeführt werden können.</w:t>
      </w:r>
    </w:p>
    <w:p>
      <w:r>
        <w:t xml:space="preserve">(6) Die Bundesnetzagentur veröffentlicht beabsichtigte Maßgrößenentscheidungen und gibt dem regulierten Unternehmen und Dritten die Möglichkeit, zum Entscheidungsentwurf Stellung zu nehmen.</w:t>
      </w:r>
    </w:p>
    <w:p>
      <w:r>
        <w:rPr>
          <w:color w:val="555555"/>
          <w:sz w:val="17"/>
        </w:rPr>
        <w:t xml:space="preserve">Zitiervorschlag: § 45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