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PostG 2024 — Marktmachtübertragung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Erbringt ein Unternehmen, das auf einem benachbarten Markt, einem Postmarkt im Sinne des § 36 oder einem anderen Markt über eine marktbeherrschende Stellung verfügt, gegenüber anderen Unternehmen Postdienstleistungen im Sinne des § 3 Nummer 15, so kann die Bundesnetzagentur entscheiden, dass das Unternehmen insoweit auf einem nach § 36 festgelegten Markt den Vorgaben des § 39 Absatz 1 und 3 in Verbindung mit § 49 Absatz 1 bis 3 und den Vorgaben des § 51 Absatz 1, 2, 4 und 6 sowie des § 52 entsprechend unterliegt, wenn die Gefahr besteht, dass es seine Marktmacht wettbewerbsverzerrend auf den nach § 36 festgelegten Postmarkt überträgt und die Regulierungsmaßnahmen geeignet sind, dies zu unterbinden. Entscheidungen nach Satz 1 erfolgen nur, wenn festgestellt wird, dass die Anwendung des allgemeinen Wettbewerbsrechts nicht ausreicht, um etwaigen Gefahren für den Wettbewerb auf dem betroffenen Postmarkt zu begegnen.</w:t>
      </w:r>
    </w:p>
    <w:p>
      <w:r>
        <w:t xml:space="preserve">(2) Ob ein Unternehmen über eine marktbeherrschende Stellung im Sinne des Absatzes 1 auf einem Markt, der kein Postmarkt im Sinne des § 36 ist, verfügt, kann sich ausschließlich aus vorhandenen aktuellen Feststellungen der Marktbeherrschung in einer rechtskräftigen Entscheidung des Bundeskartellamtes oder der Europäischen Kommission ergeben.</w:t>
      </w:r>
    </w:p>
    <w:p>
      <w:r>
        <w:t xml:space="preserve">(3) Das Verfahren des § 37 findet in den Fällen des Absatzes 1 auf den Postmarkt, auf den die Marktmacht übertragen werden kann, keine Anwendung; gleichwohl ist der betroffene Postmarkt im Hinblick auf seine Marktverhältnisse zu untersuchen.</w:t>
      </w:r>
    </w:p>
    <w:p>
      <w:r>
        <w:rPr>
          <w:color w:val="555555"/>
          <w:sz w:val="17"/>
        </w:rPr>
        <w:t xml:space="preserve">Zitiervorschlag: § 41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