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PostG 2024 — Marktanalyse</w:t>
      </w:r>
    </w:p>
    <w:p>
      <w:r>
        <w:rPr>
          <w:color w:val="555555"/>
          <w:sz w:val="18"/>
        </w:rPr>
        <w:t xml:space="preserve">Postgesetz</w:t>
      </w:r>
    </w:p>
    <w:p>
      <w:r>
        <w:rPr>
          <w:color w:val="555555"/>
          <w:sz w:val="18"/>
        </w:rPr>
        <w:t xml:space="preserve">Stand: 19.07.2024 (konsolidierte Textfassung, kein amtliches Inkrafttretensdatum)</w:t>
      </w:r>
    </w:p>
    <w:p>
      <w:r>
        <w:t xml:space="preserve">(1) Im Rahmen einer Marktanalyse prüft die Bundesnetzagentur,</w:t>
      </w:r>
    </w:p>
    <w:p>
      <w:pPr>
        <w:ind w:left="420"/>
      </w:pPr>
      <w:r>
        <w:t xml:space="preserve">1. ob die nach § 36 festgelegten Postmärkte für eine Regulierung nach diesem Kapitel in Betracht kommen und</w:t>
      </w:r>
    </w:p>
    <w:p>
      <w:pPr>
        <w:ind w:left="420"/>
      </w:pPr>
      <w:r>
        <w:t xml:space="preserve">2. welches oder welche Unternehmen auf diesen Postmärkten über eine marktbeherrschende Stellung verfügen.</w:t>
      </w:r>
    </w:p>
    <w:p>
      <w:r>
        <w:t xml:space="preserve">Sie berücksichtigt bei der Marktanalyse den Einfluss von auf benachbarten Märkten erbrachten Dienstleistungen, insbesondere der Bereiche Kommunikation, Transport und Logistik, auf die nach § 36 festgelegten Postmärkte.</w:t>
      </w:r>
    </w:p>
    <w:p>
      <w:r>
        <w:t xml:space="preserve">(2) Für eine Regulierung nach diesem Kapitel kommen nach § 36 festgelegte Postmärkte in Betracht, es sei denn, die Bundesnetzagentur stellt fest, dass</w:t>
      </w:r>
    </w:p>
    <w:p>
      <w:pPr>
        <w:ind w:left="420"/>
      </w:pPr>
      <w:r>
        <w:t xml:space="preserve">1. der Markt nicht oder nicht mehr durch beträchtliche und anhaltende strukturelle oder rechtliche Marktzutrittsschranken gekennzeichnet ist,</w:t>
      </w:r>
    </w:p>
    <w:p>
      <w:pPr>
        <w:ind w:left="420"/>
      </w:pPr>
      <w:r>
        <w:t xml:space="preserve">2. der Markt angesichts des erreichten Standes des Wettbewerbs innerhalb des relevanten Zeitraums zu funktionsfähigem Wettbewerb tendiert oder</w:t>
      </w:r>
    </w:p>
    <w:p>
      <w:pPr>
        <w:ind w:left="420"/>
      </w:pPr>
      <w:r>
        <w:t xml:space="preserve">3. die Anwendung des allgemeinen Wettbewerbsrechts allein ausreicht, um dem festgestellten Marktversagen angemessen entgegenzuwirken.</w:t>
      </w:r>
    </w:p>
    <w:p>
      <w:r>
        <w:t xml:space="preserve">(3) Sofern ein Postmarkt nach Absatz 2 für eine Regulierung nach diesem Kapitel in Betracht kommt, prüft die Bundesnetzagentur, ob ein oder mehrere Unternehmen auf diesem Markt über eine marktbeherrschende Stellung verfügen.</w:t>
      </w:r>
    </w:p>
    <w:p>
      <w:r>
        <w:t xml:space="preserve">(4) Die Bundesnetzagentur schließt die Marktanalyse mit der Feststellung ab, dass</w:t>
      </w:r>
    </w:p>
    <w:p>
      <w:pPr>
        <w:ind w:left="420"/>
      </w:pPr>
      <w:r>
        <w:t xml:space="preserve">1. ein Unternehmen über eine marktbeherrschende Stellung auf dem festgelegten Postmarkt verfügt und den Regelungen der Abschnitte 2 und 3 sowie des § 62 Satz 3 unterliegt,</w:t>
      </w:r>
    </w:p>
    <w:p>
      <w:pPr>
        <w:ind w:left="420"/>
      </w:pPr>
      <w:r>
        <w:t xml:space="preserve">2. mehrere Unternehmen über eine marktbeherrschende Stellung auf dem festgelegten Postmarkt verfügen und den Regelungen der Abschnitte 2 und 3 sowie des § 62 Satz 3 unterliegen oder</w:t>
      </w:r>
    </w:p>
    <w:p>
      <w:pPr>
        <w:ind w:left="420"/>
      </w:pPr>
      <w:r>
        <w:t xml:space="preserve">3. Regulierungsbedarf auf dem festgelegten Postmarkt nicht besteht.</w:t>
      </w:r>
    </w:p>
    <w:p>
      <w:r>
        <w:t xml:space="preserve">(5) Die Marktanalyse kann nur zusammen mit einer Maßnahme nach den Abschnitten 2 und 3 angefochten werden, die auf Grundlage der in der Marktanalyse getroffenen Feststellungen ergeht.</w:t>
      </w:r>
    </w:p>
    <w:p>
      <w:r>
        <w:rPr>
          <w:color w:val="555555"/>
          <w:sz w:val="17"/>
        </w:rPr>
        <w:t xml:space="preserve">Zitiervorschlag: § 37 PostG 2024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https://recht.nulegal.eu/gesetze/PostG%202024/37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