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PostG 2024 — Harmonisierung technischer Normen</w:t>
      </w:r>
    </w:p>
    <w:p>
      <w:r>
        <w:rPr>
          <w:color w:val="555555"/>
          <w:sz w:val="18"/>
        </w:rPr>
        <w:t xml:space="preserve">Postgesetz</w:t>
      </w:r>
    </w:p>
    <w:p>
      <w:r>
        <w:rPr>
          <w:color w:val="555555"/>
          <w:sz w:val="18"/>
        </w:rPr>
        <w:t xml:space="preserve">Stand: 19.07.2024 (konsolidierte Textfassung, kein amtliches Inkrafttretensdatum)</w:t>
      </w:r>
    </w:p>
    <w:p>
      <w:r>
        <w:t xml:space="preserve">Universaldienstanbieter haben die im Amtsblatt der Europäischen Gemeinschaften gemäß Artikel 20 der Richtlinie 97/67/EG des Europäischen Parlaments und des Rates vom 15. Dezember 1997 über gemeinsame Vorschriften für die Entwicklung des Binnenmarktes der Postdienste der Gemeinschaft und die Verbesserung der Dienstequalität (ABl. EG 1998 Nr. L 15 S. 14) veröffentlichten Normen anzuwenden. Die Bundesnetzagentur kann hiervon Ausnahmen zulassen.</w:t>
      </w:r>
    </w:p>
    <w:p>
      <w:r>
        <w:rPr>
          <w:color w:val="555555"/>
          <w:sz w:val="17"/>
        </w:rPr>
        <w:t xml:space="preserve">Zitiervorschlag: § 25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