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PostG 2024 — Regulierungsziele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Die Regulierung des Postsektors ist eine hoheitliche Aufgabe des Bundes.</w:t>
      </w:r>
    </w:p>
    <w:p>
      <w:r>
        <w:t xml:space="preserve">(2) Ziele der Regulierung sind:</w:t>
      </w:r>
    </w:p>
    <w:p>
      <w:pPr>
        <w:ind w:left="420"/>
      </w:pPr>
      <w:r>
        <w:t xml:space="preserve">1. die Sicherstellung einer flächendeckenden Grundversorgung mit Postdienstleistungen zu erschwinglichen Preisen (Universaldienst),</w:t>
      </w:r>
    </w:p>
    <w:p>
      <w:pPr>
        <w:ind w:left="420"/>
      </w:pPr>
      <w:r>
        <w:t xml:space="preserve">2. die Sicherstellung eines chancengleichen und funktionsfähigen Wettbewerbs auf den Märkten des Postsektors, insbesondere auch im ländlichen Raum,</w:t>
      </w:r>
    </w:p>
    <w:p>
      <w:pPr>
        <w:ind w:left="420"/>
      </w:pPr>
      <w:r>
        <w:t xml:space="preserve">3. die Wahrung der Interessen der Kundinnen und Kunden, insbesondere der Verbraucherinnen und Verbraucher, im Postsektor,</w:t>
      </w:r>
    </w:p>
    <w:p>
      <w:pPr>
        <w:ind w:left="420"/>
      </w:pPr>
      <w:r>
        <w:t xml:space="preserve">4. die ökologisch nachhaltige Erbringung von Postdienstleistungen,</w:t>
      </w:r>
    </w:p>
    <w:p>
      <w:pPr>
        <w:ind w:left="420"/>
      </w:pPr>
      <w:r>
        <w:t xml:space="preserve">5. die Förderung angemessener und sicherer Arbeitsbedingungen im Postsektor,</w:t>
      </w:r>
    </w:p>
    <w:p>
      <w:pPr>
        <w:ind w:left="420"/>
      </w:pPr>
      <w:r>
        <w:t xml:space="preserve">6. die Wahrung der Interessen der öffentlichen Sicherheit und des Postgeheimnisses und</w:t>
      </w:r>
    </w:p>
    <w:p>
      <w:pPr>
        <w:ind w:left="420"/>
      </w:pPr>
      <w:r>
        <w:t xml:space="preserve">7. die Sicherstellung der Versorgung mit Postdienstleistungen in Krisen- und Katastrophenfällen.</w:t>
      </w:r>
    </w:p>
    <w:p>
      <w:r>
        <w:rPr>
          <w:color w:val="555555"/>
          <w:sz w:val="17"/>
        </w:rPr>
        <w:t xml:space="preserve">Zitiervorschlag: § 2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