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PostG 2024 — Zustellung von Paketen</w:t>
      </w:r>
    </w:p>
    <w:p>
      <w:r>
        <w:rPr>
          <w:color w:val="555555"/>
          <w:sz w:val="18"/>
        </w:rPr>
        <w:t xml:space="preserve">Postgesetz</w:t>
      </w:r>
    </w:p>
    <w:p>
      <w:r>
        <w:rPr>
          <w:color w:val="555555"/>
          <w:sz w:val="18"/>
        </w:rPr>
        <w:t xml:space="preserve">Stand: 19.07.2024 (konsolidierte Textfassung, kein amtliches Inkrafttretensdatum)</w:t>
      </w:r>
    </w:p>
    <w:p>
      <w:r>
        <w:t xml:space="preserve">(1) Anbieter haben Pakete an der in der Anschrift genannten Adresse durch Aushändigung an den Empfänger zuzustellen, sofern nicht vereinbart ist, dass der Anbieter die Sendung in einer von ihm oder in seinem Auftrag betriebenen Einrichtung zur Abholung durch den Empfänger bereitstellt. Ist eine Zustellung nach Satz 1 nicht möglich, ist die Sendung nach Möglichkeit einem Ersatzempfänger auszuhändigen, soweit keine gegenteilige Weisung des Absenders oder des Empfängers vorliegt.</w:t>
      </w:r>
    </w:p>
    <w:p>
      <w:r>
        <w:t xml:space="preserve">(2) Abweichend von Absatz 1 Satz 1 hat die Zustellung</w:t>
      </w:r>
    </w:p>
    <w:p>
      <w:pPr>
        <w:ind w:left="420"/>
      </w:pPr>
      <w:r>
        <w:t xml:space="preserve">1. an der in der Anschrift genannten Adresse durch Einlegung in eine vom Empfänger zur Verfügung gestellte oder dem Empfänger zur Verfügung stehende und ausreichend aufnahmefähige Vorrichtung für den Empfang von Paketen,</w:t>
      </w:r>
    </w:p>
    <w:p>
      <w:pPr>
        <w:ind w:left="420"/>
      </w:pPr>
      <w:r>
        <w:t xml:space="preserve">2. an eine anbieterneutrale automatisierte Station zum Empfang von Paketen, für deren Nutzung dem Anbieter keine zusätzlichen Kosten entstehen, oder</w:t>
      </w:r>
    </w:p>
    <w:p>
      <w:pPr>
        <w:ind w:left="420"/>
      </w:pPr>
      <w:r>
        <w:t xml:space="preserve">3. auf eine andere Art, etwa durch Ablage an einem bestimmten Ort oder durch Aushändigung an eine bestimmte Person,</w:t>
      </w:r>
    </w:p>
    <w:p>
      <w:r>
        <w:t xml:space="preserve">zu erfolgen, wenn in den Fällen der Nummern 1 und 2 eine entsprechende Weisung des Empfängers vorliegt oder im Falle der Nummer 3 eine entsprechende Vereinbarung zwischen Empfänger und Anbieter getroffen wurde. Kann eine Zustellung nach Satz 1 aus vom Anbieter nicht zu vertretenden Gründen nicht erfolgen, kann das Paket nach Absatz 1 zugestellt werden.</w:t>
      </w:r>
    </w:p>
    <w:p>
      <w:r>
        <w:t xml:space="preserve">(3) Kann ein Paket nicht nach Absatz 1 oder 2 zugestellt oder zur Abholung bereitgestellt werden und erfolgt kein weiterer Zustellversuch, hat der Anbieter den Empfänger über den erfolglosen Zustellversuch zu unterrichten und zur Abholung des Pakets am nächstgelegenen Hinterlegungsort aufzufordern. Der Anbieter hat die Sendung am Hinterlegungsort mindestens sieben Werktage zur Abholung bereitzuhalten. Der Anbieter muss dem Empfänger dabei die Möglichkeit einräumen, der Hinterlegung in eine automatisierte Station, die nur mit eigenen technischen Geräten des Empfängers genutzt werden kann, für diesen Einzelfall oder dauerhaft zu widersprechen; die Unterrichtung nach Satz 1 muss über das Widerspruchsrecht informieren und die Kontaktdaten des Anbieters zu dessen Ausübung enthalten. Pakete, die zur Abholung bereitgestellt und nicht abgeholt wurden, sind an den Absender zurückzusenden, es sei denn, der Absender hat mit dem Anbieter etwas anderes vereinbart. Satz 4 gilt auch für Pakete, die endgültig nicht zustellbar sind.</w:t>
      </w:r>
    </w:p>
    <w:p>
      <w:r>
        <w:rPr>
          <w:color w:val="555555"/>
          <w:sz w:val="17"/>
        </w:rPr>
        <w:t xml:space="preserve">Zitiervorschlag: § 13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