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110 PostG 2024 — Kontrolle und Durchsetzung von Verpflichtungen</w:t>
      </w:r>
    </w:p>
    <w:p>
      <w:r>
        <w:rPr>
          <w:color w:val="555555"/>
          <w:sz w:val="18"/>
        </w:rPr>
        <w:t xml:space="preserve">Postgesetz</w:t>
      </w:r>
    </w:p>
    <w:p>
      <w:r>
        <w:rPr>
          <w:color w:val="555555"/>
          <w:sz w:val="18"/>
        </w:rPr>
        <w:t xml:space="preserve">Stand: 19.07.2024 (konsolidierte Textfassung, kein amtliches Inkrafttretensdatum)</w:t>
      </w:r>
    </w:p>
    <w:p>
      <w:r>
        <w:t xml:space="preserve">(1) Die Bundesnetzagentur kann Anordnungen und andere Maßnahmen erlassen, um die Einhaltung der Vorschriften dieses Kapitels sicherzustellen. Der nach § 105 Absatz 2 Verpflichtete hat auf Anforderung der Bundesnetzagentur die hierzu erforderlichen Auskünfte zu erteilen. § 55 der Strafprozessordnung gilt entsprechend. Die Bundesnetzagentur ist zur Überprüfung der Einhaltung der Verpflichtungen befugt, Geschäfts- und Betriebsräume während der üblichen Geschäfts- und Betriebszeiten zu betreten und zu besichtigen. Der Verpflichtete hat die Überprüfung zu dulden.</w:t>
      </w:r>
    </w:p>
    <w:p>
      <w:r>
        <w:t xml:space="preserve">(2) Zur Durchsetzung der Maßnahmen nach Absatz 1 und nach § 108 kann nach Maßgabe des Verwaltungsvollstreckungsgesetzes ein Zwangsgeld bis zu 1 Million Euro festgesetzt werden.</w:t>
      </w:r>
    </w:p>
    <w:p>
      <w:r>
        <w:t xml:space="preserve">(3) Die Befugnisse nach Kapitel 11 Abschnitt 2 bleiben unberührt.</w:t>
      </w:r>
    </w:p>
    <w:p>
      <w:r>
        <w:rPr>
          <w:color w:val="555555"/>
          <w:sz w:val="17"/>
        </w:rPr>
        <w:t xml:space="preserve">Zitiervorschlag: § 110 PostG 2024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https://recht.nulegal.eu/gesetze/PostG%202024/110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