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PostG 2024 — Postsicherstellungspflicht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Die nach § 105 Absatz 2 Verpflichteten haben folgende von ihnen erbrachte Postdienstleistungen aufrechtzuerhalten:</w:t>
      </w:r>
    </w:p>
    <w:p>
      <w:pPr>
        <w:ind w:left="420"/>
      </w:pPr>
      <w:r>
        <w:t xml:space="preserve">1. die Beförderung von Briefsendungen, deren Einzelgewicht 2 000 Gramm nicht überschreitet und deren Abmessungen die im Weltpostvertrag und in den zugehörigen ergänzenden Briefpostbestimmungen festgelegten Maße einhalten, einschließlich der Sendungsformen „Einschreibsendung“ und „Wertsendung“,</w:t>
      </w:r>
    </w:p>
    <w:p>
      <w:pPr>
        <w:ind w:left="420"/>
      </w:pPr>
      <w:r>
        <w:t xml:space="preserve">2. die Beförderung von Paketen, deren Einzelgewicht 20 Kilogramm nicht überschreitet und deren Abmessungen die im Weltpostvertrag und in den zugehörigen ergänzenden Paketpostbestimmungen festgelegten Maße einhalten, einschließlich der Sendungsform „Wertsendung“,</w:t>
      </w:r>
    </w:p>
    <w:p>
      <w:pPr>
        <w:ind w:left="420"/>
      </w:pPr>
      <w:r>
        <w:t xml:space="preserve">3. förmliche Zustellungen.</w:t>
      </w:r>
    </w:p>
    <w:p>
      <w:r>
        <w:t xml:space="preserve">Die nach § 105 Absatz 2 Verpflichteten haben die für diese Postdienstleistungen erforderlichen Netzzugangspunkte in angemessenem Umfang aufrechtzuerhalten und angemessene Laufzeiten und Zustellfrequenzen zu gewährleisten.</w:t>
      </w:r>
    </w:p>
    <w:p>
      <w:r>
        <w:rPr>
          <w:color w:val="555555"/>
          <w:sz w:val="17"/>
        </w:rPr>
        <w:t xml:space="preserve">Zitiervorschlag: § 106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https://recht.nulegal.eu/gesetze/PostG%202024/106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