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PostG 2024 — Rechtsbehelfe, Vorlage- und Auskunftspflicht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Ein Vorverfahren findet in den Fällen des § 98 nicht statt.</w:t>
      </w:r>
    </w:p>
    <w:p>
      <w:r>
        <w:t xml:space="preserve">(2) Widerspruch und Anfechtungsklage gegen Verwaltungsakte der Bundesnetzagentur aufgrund dieses Gesetzes oder einer aufgrund dieses Gesetzes erlassenen Rechtsverordnung haben keine aufschiebende Wirkung.</w:t>
      </w:r>
    </w:p>
    <w:p>
      <w:r>
        <w:t xml:space="preserve">(3) Im Falle des § 98 sind die Berufung gegen ein Urteil und die Beschwerde nach der Verwaltungsgerichtsordnung oder entsprechend dem Gerichtsverfassungsgesetz gegen eine Entscheidung des Verwaltungsgerichts ausgeschlossen. Das gilt nicht für</w:t>
      </w:r>
    </w:p>
    <w:p>
      <w:pPr>
        <w:ind w:left="420"/>
      </w:pPr>
      <w:r>
        <w:t xml:space="preserve">1. die Beschwerde gegen die Nichtzulassung der Revision nach § 135 in Verbindung mit § 133 der Verwaltungsgerichtsordnung und</w:t>
      </w:r>
    </w:p>
    <w:p>
      <w:pPr>
        <w:ind w:left="420"/>
      </w:pPr>
      <w:r>
        <w:t xml:space="preserve">2. die Beschwerde gegen die Beschlüsse über den Rechtsweg entsprechend § 17a Absatz 2 und 3 des Gerichtsverfassungsgesetzes.</w:t>
      </w:r>
    </w:p>
    <w:p>
      <w:r>
        <w:t xml:space="preserve">Auf die Beschwerde gegen die Beschlüsse über den Rechtsweg findet § 17a Absatz 4 Satz 4 bis 6 des Gerichtsverfassungsgesetzes entsprechende Anwendung.</w:t>
      </w:r>
    </w:p>
    <w:p>
      <w:r>
        <w:t xml:space="preserve">(4) § 99 der Verwaltungsgerichtsordnung findet mit der Maßgabe Anwendung, dass an die Stelle der obersten Aufsichtsbehörde die Bundesnetzagentur tritt.</w:t>
      </w:r>
    </w:p>
    <w:p>
      <w:r>
        <w:rPr>
          <w:color w:val="555555"/>
          <w:sz w:val="17"/>
        </w:rPr>
        <w:t xml:space="preserve">Zitiervorschlag: § 103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