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PostG 2024 — Filialen und automatisierte Stationen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Betreiben Anbieter Filialen oder automatisierte Stationen, so haben sie der Bundesnetzagentur jeweils zum 1. Januar und zum 1. Juli eines Jahres die folgenden Informationen zu diesen Einrichtungen elektronisch zu übermitteln:</w:t>
      </w:r>
    </w:p>
    <w:p>
      <w:pPr>
        <w:ind w:left="420"/>
      </w:pPr>
      <w:r>
        <w:t xml:space="preserve">1. die Anschrift der Einrichtung bestehend aus Straße, Hausnummer, Postleitzahl, Ort,</w:t>
      </w:r>
    </w:p>
    <w:p>
      <w:pPr>
        <w:ind w:left="420"/>
      </w:pPr>
      <w:r>
        <w:t xml:space="preserve">2. den Betreiber der Einrichtung in Form der in § 6 Absatz 1 Nummer 1 Buchstabe a, d und e genannten Informationen; bei juristischen Personen in Form der in § 6 Absatz 1 Nummer 2 Buchstabe a, b, d und e genannten Informationen, wobei § 6 Absatz 1 Nummer 2 Buchstabe b mit der Maßgabe zur Anwendung kommt, dass nur die Informationen nach § 6 Absatz 1 Nummer 1 Buchstabe a, d und e in Bezug genommen werden,</w:t>
      </w:r>
    </w:p>
    <w:p>
      <w:pPr>
        <w:ind w:left="420"/>
      </w:pPr>
      <w:r>
        <w:t xml:space="preserve">3. die Art der Einrichtung.</w:t>
      </w:r>
    </w:p>
    <w:p>
      <w:r>
        <w:t xml:space="preserve">Betreiben Anbieter Filialen oder automatisierte Stationen im Auftrag eines anderen Anbieters, so sind die Informationen nach Satz 1 ausschließlich durch den Anbieter zu übermitteln, in dessen Auftrag die Filiale oder die automatisierte Station betrieben wird.</w:t>
      </w:r>
    </w:p>
    <w:p>
      <w:r>
        <w:t xml:space="preserve">(2) Die Bundesnetzagentur legt durch Allgemeinverfügung fest, in welcher Form und in welchem technischen Format die Informationen zu übermitteln sind.</w:t>
      </w:r>
    </w:p>
    <w:p>
      <w:r>
        <w:t xml:space="preserve">(3) Für Anbieter, die ausschließlich Filialen oder automatisierte Stationen betreiben, gelten die Vorgaben der §§ 4 bis 9 nicht. Unbeschadet des Satzes 1 kann die Bundesnetzagentur die nach Absatz 1 gemeldeten Informationen im Anbieterverzeichnis veröffentlichen.</w:t>
      </w:r>
    </w:p>
    <w:p>
      <w:r>
        <w:rPr>
          <w:color w:val="555555"/>
          <w:sz w:val="17"/>
        </w:rPr>
        <w:t xml:space="preserve">Zitiervorschlag: § 10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